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0A9A" w14:textId="460812E2" w:rsidR="00FB1B0D" w:rsidRPr="00AC63EF" w:rsidRDefault="00FB1B0D" w:rsidP="00DD0775">
      <w:pPr>
        <w:shd w:val="clear" w:color="auto" w:fill="FFFFFF" w:themeFill="background1"/>
        <w:jc w:val="center"/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  <w:r w:rsidRPr="00AC63EF">
        <w:rPr>
          <w:rFonts w:ascii="Arial" w:hAnsi="Arial" w:cs="Arial"/>
          <w:b/>
          <w:bCs/>
          <w:shd w:val="clear" w:color="auto" w:fill="FFFFFF"/>
        </w:rPr>
        <w:t>High Maternal and infantile mortality in Mali</w:t>
      </w:r>
    </w:p>
    <w:p w14:paraId="36D2769C" w14:textId="2A8069EF" w:rsidR="00EE45F4" w:rsidRDefault="00B56D33" w:rsidP="001D2A06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DD0775">
        <w:rPr>
          <w:rFonts w:ascii="Arial" w:hAnsi="Arial" w:cs="Arial"/>
          <w:shd w:val="clear" w:color="auto" w:fill="FFFFFF"/>
        </w:rPr>
        <w:t xml:space="preserve">Maternal and infant mortality is a public health problem in Mali. Its prevalence </w:t>
      </w:r>
      <w:r w:rsidR="00085E3F" w:rsidRPr="00DD0775">
        <w:rPr>
          <w:rFonts w:ascii="Arial" w:hAnsi="Arial" w:cs="Arial"/>
          <w:shd w:val="clear" w:color="auto" w:fill="FFFFFF"/>
        </w:rPr>
        <w:t xml:space="preserve">is </w:t>
      </w:r>
      <w:r w:rsidRPr="00DD0775">
        <w:rPr>
          <w:rFonts w:ascii="Arial" w:hAnsi="Arial" w:cs="Arial"/>
          <w:shd w:val="clear" w:color="auto" w:fill="FFFFFF"/>
        </w:rPr>
        <w:t xml:space="preserve">estimated at 325 maternal deaths per 100,000 live births, with 97.1 cases of mortality (i.e. 85,222) per 1,000 among children under 5 (UNICEF, 2023), including 54 cases per 1,000 who die before their first birthday (USAID, 2017) and 33 cases per 1,000 who usually die in the neonatal period </w:t>
      </w:r>
      <w:r w:rsidR="00DD0775">
        <w:rPr>
          <w:rFonts w:ascii="Arial" w:hAnsi="Arial" w:cs="Arial"/>
          <w:shd w:val="clear" w:color="auto" w:fill="FFFFFF"/>
        </w:rPr>
        <w:fldChar w:fldCharType="begin"/>
      </w:r>
      <w:r w:rsidR="00DD0775">
        <w:rPr>
          <w:rFonts w:ascii="Arial" w:hAnsi="Arial" w:cs="Arial"/>
          <w:shd w:val="clear" w:color="auto" w:fill="FFFFFF"/>
        </w:rPr>
        <w:instrText xml:space="preserve"> ADDIN EN.CITE &lt;EndNote&gt;&lt;Cite&gt;&lt;Author&gt;D.H.S&lt;/Author&gt;&lt;Year&gt;2018 &lt;/Year&gt;&lt;RecNum&gt;4&lt;/RecNum&gt;&lt;DisplayText&gt;(D.H.S, 2018 ; UNICEF, 2023)&lt;/DisplayText&gt;&lt;record&gt;&lt;rec-number&gt;4&lt;/rec-number&gt;&lt;foreign-keys&gt;&lt;key app="EN" db-id="ztsp2rxfh9awzuew2zpx0px5tf02tf0v0vt5" timestamp="1688472355"&gt;4&lt;/key&gt;&lt;/foreign-keys&gt;&lt;ref-type name="Journal Article"&gt;17&lt;/ref-type&gt;&lt;contributors&gt;&lt;authors&gt;&lt;author&gt;D.H.S&lt;/author&gt;&lt;/authors&gt;&lt;/contributors&gt;&lt;titles&gt;&lt;title&gt;Demographic and Health Survey : Key Findings.&lt;/title&gt;&lt;/titles&gt;&lt;dates&gt;&lt;year&gt;2018 &lt;/year&gt;&lt;/dates&gt;&lt;urls&gt;&lt;related-urls&gt;&lt;url&gt;https://dhsprogram.com/pubs/pdf/SR261/SR261.E.pdf&lt;/url&gt;&lt;/related-urls&gt;&lt;/urls&gt;&lt;/record&gt;&lt;/Cite&gt;&lt;Cite&gt;&lt;Author&gt;UNICEF&lt;/Author&gt;&lt;Year&gt;2023&lt;/Year&gt;&lt;RecNum&gt;3&lt;/RecNum&gt;&lt;record&gt;&lt;rec-number&gt;3&lt;/rec-number&gt;&lt;foreign-keys&gt;&lt;key app="EN" db-id="ztsp2rxfh9awzuew2zpx0px5tf02tf0v0vt5" timestamp="1688471752"&gt;3&lt;/key&gt;&lt;/foreign-keys&gt;&lt;ref-type name="Journal Article"&gt;17&lt;/ref-type&gt;&lt;contributors&gt;&lt;authors&gt;&lt;author&gt;UNICEF&lt;/author&gt;&lt;/authors&gt;&lt;/contributors&gt;&lt;titles&gt;&lt;title&gt;UNICEF data: Monotoring the situation of children and woman.&lt;/title&gt;&lt;/titles&gt;&lt;dates&gt;&lt;year&gt;2023&lt;/year&gt;&lt;/dates&gt;&lt;urls&gt;&lt;related-urls&gt;&lt;url&gt;https://data.unicef.org/indicator-profile/&lt;/url&gt;&lt;/related-urls&gt;&lt;/urls&gt;&lt;/record&gt;&lt;/Cite&gt;&lt;/EndNote&gt;</w:instrText>
      </w:r>
      <w:r w:rsidR="00DD0775">
        <w:rPr>
          <w:rFonts w:ascii="Arial" w:hAnsi="Arial" w:cs="Arial"/>
          <w:shd w:val="clear" w:color="auto" w:fill="FFFFFF"/>
        </w:rPr>
        <w:fldChar w:fldCharType="separate"/>
      </w:r>
      <w:r w:rsidR="00DD0775">
        <w:rPr>
          <w:rFonts w:ascii="Arial" w:hAnsi="Arial" w:cs="Arial"/>
          <w:noProof/>
          <w:shd w:val="clear" w:color="auto" w:fill="FFFFFF"/>
        </w:rPr>
        <w:t>(D.H.S, 2018 ; UNICEF, 2023)</w:t>
      </w:r>
      <w:r w:rsidR="00DD0775">
        <w:rPr>
          <w:rFonts w:ascii="Arial" w:hAnsi="Arial" w:cs="Arial"/>
          <w:shd w:val="clear" w:color="auto" w:fill="FFFFFF"/>
        </w:rPr>
        <w:fldChar w:fldCharType="end"/>
      </w:r>
      <w:r w:rsidR="00DD0775">
        <w:rPr>
          <w:rFonts w:ascii="Arial" w:hAnsi="Arial" w:cs="Arial"/>
          <w:shd w:val="clear" w:color="auto" w:fill="FFFFFF"/>
        </w:rPr>
        <w:t>.</w:t>
      </w:r>
      <w:r w:rsidR="001D2A06">
        <w:rPr>
          <w:rFonts w:ascii="Arial" w:hAnsi="Arial" w:cs="Arial"/>
          <w:shd w:val="clear" w:color="auto" w:fill="FFFFFF"/>
        </w:rPr>
        <w:t xml:space="preserve"> T</w:t>
      </w:r>
      <w:r w:rsidRPr="00B56D33">
        <w:rPr>
          <w:rFonts w:ascii="Arial" w:hAnsi="Arial" w:cs="Arial"/>
          <w:shd w:val="clear" w:color="auto" w:fill="FFFFFF"/>
        </w:rPr>
        <w:t xml:space="preserve">his rate differs </w:t>
      </w:r>
      <w:r w:rsidR="00085E3F">
        <w:rPr>
          <w:rFonts w:ascii="Arial" w:hAnsi="Arial" w:cs="Arial"/>
          <w:shd w:val="clear" w:color="auto" w:fill="FFFFFF"/>
        </w:rPr>
        <w:t>geographically from one region</w:t>
      </w:r>
      <w:r w:rsidR="00085E3F" w:rsidRPr="00B56D33">
        <w:rPr>
          <w:rFonts w:ascii="Arial" w:hAnsi="Arial" w:cs="Arial"/>
          <w:shd w:val="clear" w:color="auto" w:fill="FFFFFF"/>
        </w:rPr>
        <w:t xml:space="preserve"> </w:t>
      </w:r>
      <w:r w:rsidRPr="00B56D33">
        <w:rPr>
          <w:rFonts w:ascii="Arial" w:hAnsi="Arial" w:cs="Arial"/>
          <w:shd w:val="clear" w:color="auto" w:fill="FFFFFF"/>
        </w:rPr>
        <w:t xml:space="preserve">to </w:t>
      </w:r>
      <w:r w:rsidR="00085E3F">
        <w:rPr>
          <w:rFonts w:ascii="Arial" w:hAnsi="Arial" w:cs="Arial"/>
          <w:shd w:val="clear" w:color="auto" w:fill="FFFFFF"/>
        </w:rPr>
        <w:t>another</w:t>
      </w:r>
      <w:r w:rsidR="00085E3F" w:rsidRPr="00B56D33">
        <w:rPr>
          <w:rFonts w:ascii="Arial" w:hAnsi="Arial" w:cs="Arial"/>
          <w:shd w:val="clear" w:color="auto" w:fill="FFFFFF"/>
        </w:rPr>
        <w:t xml:space="preserve"> </w:t>
      </w:r>
      <w:r w:rsidRPr="00B56D33">
        <w:rPr>
          <w:rFonts w:ascii="Arial" w:hAnsi="Arial" w:cs="Arial"/>
          <w:shd w:val="clear" w:color="auto" w:fill="FFFFFF"/>
        </w:rPr>
        <w:t xml:space="preserve">and the mother's level of education </w:t>
      </w:r>
      <w:r w:rsidR="00DD0775">
        <w:rPr>
          <w:rFonts w:ascii="Arial" w:hAnsi="Arial" w:cs="Arial"/>
          <w:shd w:val="clear" w:color="auto" w:fill="FFFFFF"/>
        </w:rPr>
        <w:fldChar w:fldCharType="begin"/>
      </w:r>
      <w:r w:rsidR="00DD0775">
        <w:rPr>
          <w:rFonts w:ascii="Arial" w:hAnsi="Arial" w:cs="Arial"/>
          <w:shd w:val="clear" w:color="auto" w:fill="FFFFFF"/>
        </w:rPr>
        <w:instrText xml:space="preserve"> ADDIN EN.CITE &lt;EndNote&gt;&lt;Cite&gt;&lt;Author&gt;D.H.S&lt;/Author&gt;&lt;Year&gt;2018 &lt;/Year&gt;&lt;RecNum&gt;4&lt;/RecNum&gt;&lt;DisplayText&gt;(D.H.S, 2018 )&lt;/DisplayText&gt;&lt;record&gt;&lt;rec-number&gt;4&lt;/rec-number&gt;&lt;foreign-keys&gt;&lt;key app="EN" db-id="ztsp2rxfh9awzuew2zpx0px5tf02tf0v0vt5" timestamp="1688472355"&gt;4&lt;/key&gt;&lt;/foreign-keys&gt;&lt;ref-type name="Journal Article"&gt;17&lt;/ref-type&gt;&lt;contributors&gt;&lt;authors&gt;&lt;author&gt;D.H.S&lt;/author&gt;&lt;/authors&gt;&lt;/contributors&gt;&lt;titles&gt;&lt;title&gt;Demographic and Health Survey : Key Findings.&lt;/title&gt;&lt;/titles&gt;&lt;dates&gt;&lt;year&gt;2018 &lt;/year&gt;&lt;/dates&gt;&lt;urls&gt;&lt;related-urls&gt;&lt;url&gt;https://dhsprogram.com/pubs/pdf/SR261/SR261.E.pdf&lt;/url&gt;&lt;/related-urls&gt;&lt;/urls&gt;&lt;/record&gt;&lt;/Cite&gt;&lt;/EndNote&gt;</w:instrText>
      </w:r>
      <w:r w:rsidR="00DD0775">
        <w:rPr>
          <w:rFonts w:ascii="Arial" w:hAnsi="Arial" w:cs="Arial"/>
          <w:shd w:val="clear" w:color="auto" w:fill="FFFFFF"/>
        </w:rPr>
        <w:fldChar w:fldCharType="separate"/>
      </w:r>
      <w:r w:rsidR="00DD0775">
        <w:rPr>
          <w:rFonts w:ascii="Arial" w:hAnsi="Arial" w:cs="Arial"/>
          <w:noProof/>
          <w:shd w:val="clear" w:color="auto" w:fill="FFFFFF"/>
        </w:rPr>
        <w:t>(D.H.S, 2018 )</w:t>
      </w:r>
      <w:r w:rsidR="00DD0775">
        <w:rPr>
          <w:rFonts w:ascii="Arial" w:hAnsi="Arial" w:cs="Arial"/>
          <w:shd w:val="clear" w:color="auto" w:fill="FFFFFF"/>
        </w:rPr>
        <w:fldChar w:fldCharType="end"/>
      </w:r>
      <w:r w:rsidRPr="00B56D33">
        <w:rPr>
          <w:rFonts w:ascii="Arial" w:hAnsi="Arial" w:cs="Arial"/>
          <w:shd w:val="clear" w:color="auto" w:fill="FFFFFF"/>
        </w:rPr>
        <w:t xml:space="preserve">. </w:t>
      </w:r>
      <w:r w:rsidR="00EE45F4" w:rsidRPr="00EE45F4">
        <w:rPr>
          <w:rFonts w:ascii="Arial" w:hAnsi="Arial" w:cs="Arial"/>
          <w:shd w:val="clear" w:color="auto" w:fill="FFFFFF"/>
        </w:rPr>
        <w:t xml:space="preserve">Rural parts of Mali carry a disproportionate burden of the country's high under-five mortality rate. A range of household factors are associated with poor under-five health in resource-limited settings. </w:t>
      </w:r>
    </w:p>
    <w:p w14:paraId="06CBA842" w14:textId="3CBC927C" w:rsidR="00231D80" w:rsidRDefault="008A54C5" w:rsidP="00231D80">
      <w:pPr>
        <w:jc w:val="both"/>
        <w:rPr>
          <w:rFonts w:ascii="Arial" w:hAnsi="Arial" w:cs="Arial"/>
          <w:shd w:val="clear" w:color="auto" w:fill="FFFFFF"/>
        </w:rPr>
      </w:pPr>
      <w:r w:rsidRPr="00B56D33">
        <w:rPr>
          <w:rFonts w:ascii="Arial" w:hAnsi="Arial" w:cs="Arial"/>
          <w:shd w:val="clear" w:color="auto" w:fill="FFFFFF"/>
        </w:rPr>
        <w:t xml:space="preserve">In fact, the prevalence of maternal healthcare utilization was found to be low (45%) </w:t>
      </w:r>
      <w:r>
        <w:rPr>
          <w:rFonts w:ascii="Arial" w:hAnsi="Arial" w:cs="Arial"/>
          <w:shd w:val="clear" w:color="auto" w:fill="FFFFFF"/>
        </w:rPr>
        <w:t>due to difficult geographical accessibility and poverty</w:t>
      </w:r>
      <w:r w:rsidRPr="00B56D33">
        <w:rPr>
          <w:rFonts w:ascii="Arial" w:hAnsi="Arial" w:cs="Arial"/>
          <w:shd w:val="clear" w:color="auto" w:fill="FFFFFF"/>
        </w:rPr>
        <w:t xml:space="preserve">. </w:t>
      </w:r>
      <w:r w:rsidR="00675B16">
        <w:rPr>
          <w:rFonts w:ascii="Arial" w:hAnsi="Arial" w:cs="Arial"/>
          <w:shd w:val="clear" w:color="auto" w:fill="FFFFFF"/>
        </w:rPr>
        <w:t>For example, the rate of the recommended four antenatal visits per pregnancy is estimated to</w:t>
      </w:r>
      <w:r w:rsidR="00EE45F4">
        <w:rPr>
          <w:rFonts w:ascii="Arial" w:hAnsi="Arial" w:cs="Arial"/>
          <w:shd w:val="clear" w:color="auto" w:fill="FFFFFF"/>
        </w:rPr>
        <w:t xml:space="preserve"> 27.6 % </w:t>
      </w:r>
      <w:r w:rsidR="00F971E7">
        <w:rPr>
          <w:rFonts w:ascii="Arial" w:hAnsi="Arial" w:cs="Arial"/>
          <w:shd w:val="clear" w:color="auto" w:fill="FFFFFF"/>
        </w:rPr>
        <w:t>in 202</w:t>
      </w:r>
      <w:r w:rsidR="0005478B">
        <w:rPr>
          <w:rFonts w:ascii="Arial" w:hAnsi="Arial" w:cs="Arial"/>
          <w:shd w:val="clear" w:color="auto" w:fill="FFFFFF"/>
        </w:rPr>
        <w:t xml:space="preserve">1 </w:t>
      </w:r>
      <w:r w:rsidR="0005478B">
        <w:rPr>
          <w:rFonts w:ascii="Arial" w:hAnsi="Arial" w:cs="Arial"/>
          <w:shd w:val="clear" w:color="auto" w:fill="FFFFFF"/>
        </w:rPr>
        <w:fldChar w:fldCharType="begin"/>
      </w:r>
      <w:r w:rsidR="0005478B">
        <w:rPr>
          <w:rFonts w:ascii="Arial" w:hAnsi="Arial" w:cs="Arial"/>
          <w:shd w:val="clear" w:color="auto" w:fill="FFFFFF"/>
        </w:rPr>
        <w:instrText xml:space="preserve"> ADDIN EN.CITE &lt;EndNote&gt;&lt;Cite&gt;&lt;Author&gt;INSTAT&lt;/Author&gt;&lt;Year&gt;2021&lt;/Year&gt;&lt;RecNum&gt;8&lt;/RecNum&gt;&lt;DisplayText&gt;(INSTAT, 2021)&lt;/DisplayText&gt;&lt;record&gt;&lt;rec-number&gt;8&lt;/rec-number&gt;&lt;foreign-keys&gt;&lt;key app="EN" db-id="ztsp2rxfh9awzuew2zpx0px5tf02tf0v0vt5" timestamp="1688635757"&gt;8&lt;/key&gt;&lt;/foreign-keys&gt;&lt;ref-type name="Generic"&gt;13&lt;/ref-type&gt;&lt;contributors&gt;&lt;authors&gt;&lt;author&gt;INSTAT&lt;/author&gt;&lt;/authors&gt;&lt;/contributors&gt;&lt;titles&gt;&lt;title&gt;Annual Malien Statistical Yearbook. &lt;/title&gt;&lt;/titles&gt;&lt;dates&gt;&lt;year&gt;2021&lt;/year&gt;&lt;/dates&gt;&lt;urls&gt;&lt;related-urls&gt;&lt;url&gt;https://www.instat-mali.org/laravel-filemanager/files/shares/pub/anuair21_pub.pdf&lt;/url&gt;&lt;/related-urls&gt;&lt;/urls&gt;&lt;/record&gt;&lt;/Cite&gt;&lt;/EndNote&gt;</w:instrText>
      </w:r>
      <w:r w:rsidR="0005478B">
        <w:rPr>
          <w:rFonts w:ascii="Arial" w:hAnsi="Arial" w:cs="Arial"/>
          <w:shd w:val="clear" w:color="auto" w:fill="FFFFFF"/>
        </w:rPr>
        <w:fldChar w:fldCharType="separate"/>
      </w:r>
      <w:r w:rsidR="0005478B">
        <w:rPr>
          <w:rFonts w:ascii="Arial" w:hAnsi="Arial" w:cs="Arial"/>
          <w:noProof/>
          <w:shd w:val="clear" w:color="auto" w:fill="FFFFFF"/>
        </w:rPr>
        <w:t>(INSTAT, 2021)</w:t>
      </w:r>
      <w:r w:rsidR="0005478B">
        <w:rPr>
          <w:rFonts w:ascii="Arial" w:hAnsi="Arial" w:cs="Arial"/>
          <w:shd w:val="clear" w:color="auto" w:fill="FFFFFF"/>
        </w:rPr>
        <w:fldChar w:fldCharType="end"/>
      </w:r>
      <w:r w:rsidR="00675B16" w:rsidRPr="00EE45F4">
        <w:rPr>
          <w:rFonts w:ascii="Arial" w:hAnsi="Arial" w:cs="Arial"/>
          <w:shd w:val="clear" w:color="auto" w:fill="FFFFFF"/>
        </w:rPr>
        <w:t xml:space="preserve">.  </w:t>
      </w:r>
      <w:r w:rsidR="00675B16">
        <w:rPr>
          <w:rFonts w:ascii="Arial" w:hAnsi="Arial" w:cs="Arial"/>
          <w:shd w:val="clear" w:color="auto" w:fill="FFFFFF"/>
        </w:rPr>
        <w:t xml:space="preserve">Such </w:t>
      </w:r>
      <w:r w:rsidRPr="00B56D33">
        <w:rPr>
          <w:rFonts w:ascii="Arial" w:hAnsi="Arial" w:cs="Arial"/>
          <w:shd w:val="clear" w:color="auto" w:fill="FFFFFF"/>
        </w:rPr>
        <w:t xml:space="preserve">limited use of </w:t>
      </w:r>
      <w:r w:rsidR="00675B16">
        <w:rPr>
          <w:rFonts w:ascii="Arial" w:hAnsi="Arial" w:cs="Arial"/>
          <w:shd w:val="clear" w:color="auto" w:fill="FFFFFF"/>
        </w:rPr>
        <w:t xml:space="preserve">antenatal care (ANC) </w:t>
      </w:r>
      <w:r>
        <w:rPr>
          <w:rFonts w:ascii="Arial" w:hAnsi="Arial" w:cs="Arial"/>
          <w:shd w:val="clear" w:color="auto" w:fill="FFFFFF"/>
        </w:rPr>
        <w:t xml:space="preserve">has been associated </w:t>
      </w:r>
      <w:r w:rsidRPr="00B56D33">
        <w:rPr>
          <w:rFonts w:ascii="Arial" w:hAnsi="Arial" w:cs="Arial"/>
          <w:shd w:val="clear" w:color="auto" w:fill="FFFFFF"/>
        </w:rPr>
        <w:t xml:space="preserve">to </w:t>
      </w:r>
      <w:r>
        <w:rPr>
          <w:rFonts w:ascii="Arial" w:hAnsi="Arial" w:cs="Arial"/>
          <w:shd w:val="clear" w:color="auto" w:fill="FFFFFF"/>
        </w:rPr>
        <w:t xml:space="preserve">maternal </w:t>
      </w:r>
      <w:r w:rsidRPr="00B56D33">
        <w:rPr>
          <w:rFonts w:ascii="Arial" w:hAnsi="Arial" w:cs="Arial"/>
          <w:shd w:val="clear" w:color="auto" w:fill="FFFFFF"/>
        </w:rPr>
        <w:t xml:space="preserve">education level, age, economic </w:t>
      </w:r>
      <w:r w:rsidR="00DD0775" w:rsidRPr="00B56D33">
        <w:rPr>
          <w:rFonts w:ascii="Arial" w:hAnsi="Arial" w:cs="Arial"/>
          <w:shd w:val="clear" w:color="auto" w:fill="FFFFFF"/>
        </w:rPr>
        <w:t>status,</w:t>
      </w:r>
      <w:r w:rsidRPr="00B56D33">
        <w:rPr>
          <w:rFonts w:ascii="Arial" w:hAnsi="Arial" w:cs="Arial"/>
          <w:shd w:val="clear" w:color="auto" w:fill="FFFFFF"/>
        </w:rPr>
        <w:t xml:space="preserve"> and the presence of skilled birth attendants </w:t>
      </w:r>
      <w:r>
        <w:rPr>
          <w:rFonts w:ascii="Arial" w:hAnsi="Arial" w:cs="Arial"/>
          <w:shd w:val="clear" w:color="auto" w:fill="FFFFFF"/>
        </w:rPr>
        <w:t xml:space="preserve">at the health centers </w:t>
      </w:r>
      <w:r w:rsidRPr="00B56D33">
        <w:rPr>
          <w:rFonts w:ascii="Arial" w:hAnsi="Arial" w:cs="Arial"/>
          <w:shd w:val="clear" w:color="auto" w:fill="FFFFFF"/>
        </w:rPr>
        <w:t xml:space="preserve">(Bain et al., 2022). </w:t>
      </w:r>
      <w:r w:rsidR="00675B16">
        <w:rPr>
          <w:rFonts w:ascii="Arial" w:hAnsi="Arial" w:cs="Arial"/>
          <w:shd w:val="clear" w:color="auto" w:fill="FFFFFF"/>
        </w:rPr>
        <w:t>Other f</w:t>
      </w:r>
      <w:r w:rsidR="00B56D33" w:rsidRPr="00B56D33">
        <w:rPr>
          <w:rFonts w:ascii="Arial" w:hAnsi="Arial" w:cs="Arial"/>
          <w:shd w:val="clear" w:color="auto" w:fill="FFFFFF"/>
        </w:rPr>
        <w:t xml:space="preserve">actors </w:t>
      </w:r>
      <w:r w:rsidR="00675B16">
        <w:rPr>
          <w:rFonts w:ascii="Arial" w:hAnsi="Arial" w:cs="Arial"/>
          <w:shd w:val="clear" w:color="auto" w:fill="FFFFFF"/>
        </w:rPr>
        <w:t xml:space="preserve">of maternal mortality have </w:t>
      </w:r>
      <w:r w:rsidR="00B56D33" w:rsidRPr="00B56D33">
        <w:rPr>
          <w:rFonts w:ascii="Arial" w:hAnsi="Arial" w:cs="Arial"/>
          <w:shd w:val="clear" w:color="auto" w:fill="FFFFFF"/>
        </w:rPr>
        <w:t>include</w:t>
      </w:r>
      <w:r w:rsidR="00675B16">
        <w:rPr>
          <w:rFonts w:ascii="Arial" w:hAnsi="Arial" w:cs="Arial"/>
          <w:shd w:val="clear" w:color="auto" w:fill="FFFFFF"/>
        </w:rPr>
        <w:t>d</w:t>
      </w:r>
      <w:r w:rsidR="00B56D33" w:rsidRPr="00B56D33">
        <w:rPr>
          <w:rFonts w:ascii="Arial" w:hAnsi="Arial" w:cs="Arial"/>
          <w:shd w:val="clear" w:color="auto" w:fill="FFFFFF"/>
        </w:rPr>
        <w:t xml:space="preserve"> </w:t>
      </w:r>
      <w:r w:rsidR="00675B16">
        <w:rPr>
          <w:rFonts w:ascii="Arial" w:hAnsi="Arial" w:cs="Arial"/>
          <w:shd w:val="clear" w:color="auto" w:fill="FFFFFF"/>
        </w:rPr>
        <w:t>the</w:t>
      </w:r>
      <w:r w:rsidR="00B56D33" w:rsidRPr="00B56D33">
        <w:rPr>
          <w:rFonts w:ascii="Arial" w:hAnsi="Arial" w:cs="Arial"/>
          <w:shd w:val="clear" w:color="auto" w:fill="FFFFFF"/>
        </w:rPr>
        <w:t xml:space="preserve"> collapse of the healthcare system, dangers of social </w:t>
      </w:r>
      <w:r w:rsidR="00085E3F">
        <w:rPr>
          <w:rFonts w:ascii="Arial" w:hAnsi="Arial" w:cs="Arial"/>
          <w:shd w:val="clear" w:color="auto" w:fill="FFFFFF"/>
        </w:rPr>
        <w:t xml:space="preserve">and </w:t>
      </w:r>
      <w:r w:rsidR="00085E3F" w:rsidRPr="00B56D33">
        <w:rPr>
          <w:rFonts w:ascii="Arial" w:hAnsi="Arial" w:cs="Arial"/>
          <w:shd w:val="clear" w:color="auto" w:fill="FFFFFF"/>
        </w:rPr>
        <w:t xml:space="preserve">fatalistic religious </w:t>
      </w:r>
      <w:r w:rsidR="00085E3F">
        <w:rPr>
          <w:rFonts w:ascii="Arial" w:hAnsi="Arial" w:cs="Arial"/>
          <w:shd w:val="clear" w:color="auto" w:fill="FFFFFF"/>
        </w:rPr>
        <w:t>beliefs</w:t>
      </w:r>
      <w:r w:rsidR="00B56D33" w:rsidRPr="00B56D33">
        <w:rPr>
          <w:rFonts w:ascii="Arial" w:hAnsi="Arial" w:cs="Arial"/>
          <w:shd w:val="clear" w:color="auto" w:fill="FFFFFF"/>
        </w:rPr>
        <w:t xml:space="preserve">, social obligation of motherhood, and </w:t>
      </w:r>
      <w:r w:rsidR="00085E3F">
        <w:rPr>
          <w:rFonts w:ascii="Arial" w:hAnsi="Arial" w:cs="Arial"/>
          <w:shd w:val="clear" w:color="auto" w:fill="FFFFFF"/>
        </w:rPr>
        <w:t xml:space="preserve">the </w:t>
      </w:r>
      <w:r w:rsidR="00B56D33" w:rsidRPr="00B56D33">
        <w:rPr>
          <w:rFonts w:ascii="Arial" w:hAnsi="Arial" w:cs="Arial"/>
          <w:shd w:val="clear" w:color="auto" w:fill="FFFFFF"/>
        </w:rPr>
        <w:t>women's financial dependence on men</w:t>
      </w:r>
      <w:r w:rsidR="00085E3F">
        <w:rPr>
          <w:rFonts w:ascii="Arial" w:hAnsi="Arial" w:cs="Arial"/>
          <w:shd w:val="clear" w:color="auto" w:fill="FFFFFF"/>
        </w:rPr>
        <w:t>. A</w:t>
      </w:r>
      <w:r w:rsidR="00B56D33" w:rsidRPr="00B56D33">
        <w:rPr>
          <w:rFonts w:ascii="Arial" w:hAnsi="Arial" w:cs="Arial"/>
          <w:shd w:val="clear" w:color="auto" w:fill="FFFFFF"/>
        </w:rPr>
        <w:t xml:space="preserve">ll of which </w:t>
      </w:r>
      <w:r w:rsidR="00085E3F">
        <w:rPr>
          <w:rFonts w:ascii="Arial" w:hAnsi="Arial" w:cs="Arial"/>
          <w:shd w:val="clear" w:color="auto" w:fill="FFFFFF"/>
        </w:rPr>
        <w:t>have been considered as</w:t>
      </w:r>
      <w:r w:rsidR="00B56D33" w:rsidRPr="00B56D33">
        <w:rPr>
          <w:rFonts w:ascii="Arial" w:hAnsi="Arial" w:cs="Arial"/>
          <w:shd w:val="clear" w:color="auto" w:fill="FFFFFF"/>
        </w:rPr>
        <w:t xml:space="preserve"> obstacles to women's health and safety during childbirth </w:t>
      </w:r>
      <w:r w:rsidR="00DD0775">
        <w:rPr>
          <w:rFonts w:ascii="Arial" w:hAnsi="Arial" w:cs="Arial"/>
          <w:shd w:val="clear" w:color="auto" w:fill="FFFFFF"/>
        </w:rPr>
        <w:fldChar w:fldCharType="begin"/>
      </w:r>
      <w:r w:rsidR="00DD0775">
        <w:rPr>
          <w:rFonts w:ascii="Arial" w:hAnsi="Arial" w:cs="Arial"/>
          <w:shd w:val="clear" w:color="auto" w:fill="FFFFFF"/>
        </w:rPr>
        <w:instrText xml:space="preserve"> ADDIN EN.CITE &lt;EndNote&gt;&lt;Cite&gt;&lt;Author&gt;Ornella Moderan&lt;/Author&gt;&lt;Year&gt;2017&lt;/Year&gt;&lt;RecNum&gt;2&lt;/RecNum&gt;&lt;DisplayText&gt;(Ornella Moderan, 2017)&lt;/DisplayText&gt;&lt;record&gt;&lt;rec-number&gt;2&lt;/rec-number&gt;&lt;foreign-keys&gt;&lt;key app="EN" db-id="ztsp2rxfh9awzuew2zpx0px5tf02tf0v0vt5" timestamp="1688468115"&gt;2&lt;/key&gt;&lt;/foreign-keys&gt;&lt;ref-type name="Journal Article"&gt;17&lt;/ref-type&gt;&lt;contributors&gt;&lt;authors&gt;&lt;author&gt;Ornella Moderan,  Fatoumata Maïga.&lt;/author&gt;&lt;/authors&gt;&lt;/contributors&gt;&lt;titles&gt;&lt;title&gt;Maternal mortality in Mali: a forgotten tragedy.&lt;/title&gt;&lt;/titles&gt;&lt;dates&gt;&lt;year&gt;2017&lt;/year&gt;&lt;/dates&gt;&lt;urls&gt;&lt;related-urls&gt;&lt;url&gt;https://issafrica.org/iss-today/maternal-mortality-in-mali-a-forgotten-tragedy.&lt;/url&gt;&lt;/related-urls&gt;&lt;/urls&gt;&lt;/record&gt;&lt;/Cite&gt;&lt;/EndNote&gt;</w:instrText>
      </w:r>
      <w:r w:rsidR="00DD0775">
        <w:rPr>
          <w:rFonts w:ascii="Arial" w:hAnsi="Arial" w:cs="Arial"/>
          <w:shd w:val="clear" w:color="auto" w:fill="FFFFFF"/>
        </w:rPr>
        <w:fldChar w:fldCharType="separate"/>
      </w:r>
      <w:r w:rsidR="00DD0775">
        <w:rPr>
          <w:rFonts w:ascii="Arial" w:hAnsi="Arial" w:cs="Arial"/>
          <w:noProof/>
          <w:shd w:val="clear" w:color="auto" w:fill="FFFFFF"/>
        </w:rPr>
        <w:t>(Ornella Moderan, 2017)</w:t>
      </w:r>
      <w:r w:rsidR="00DD0775">
        <w:rPr>
          <w:rFonts w:ascii="Arial" w:hAnsi="Arial" w:cs="Arial"/>
          <w:shd w:val="clear" w:color="auto" w:fill="FFFFFF"/>
        </w:rPr>
        <w:fldChar w:fldCharType="end"/>
      </w:r>
      <w:r w:rsidR="00B56D33" w:rsidRPr="00B56D33">
        <w:rPr>
          <w:rFonts w:ascii="Arial" w:hAnsi="Arial" w:cs="Arial"/>
          <w:shd w:val="clear" w:color="auto" w:fill="FFFFFF"/>
        </w:rPr>
        <w:t xml:space="preserve">. </w:t>
      </w:r>
    </w:p>
    <w:p w14:paraId="770E4045" w14:textId="6640B00B" w:rsidR="00CE2BF2" w:rsidRPr="00BC5D09" w:rsidRDefault="00231D80" w:rsidP="00CE2BF2">
      <w:pPr>
        <w:jc w:val="both"/>
        <w:rPr>
          <w:rFonts w:ascii="Arial" w:hAnsi="Arial" w:cs="Arial"/>
          <w:highlight w:val="yellow"/>
          <w:shd w:val="clear" w:color="auto" w:fill="FFFFFF"/>
        </w:rPr>
      </w:pPr>
      <w:r w:rsidRPr="00231D80">
        <w:rPr>
          <w:rFonts w:ascii="Arial" w:hAnsi="Arial" w:cs="Arial"/>
          <w:shd w:val="clear" w:color="auto" w:fill="FFFFFF"/>
        </w:rPr>
        <w:t xml:space="preserve">With a view to improving these indicators, the government, through its partners, has put in place a series of actions to strengthen the Malian health system. These include setting up a Maternal Death Surveillance System, strengthening emergency obstetric and neonatal care, strengthening midwifery, improving the supply chain in Mali, providing family planning services, supporting the </w:t>
      </w:r>
      <w:r w:rsidR="00DD0775" w:rsidRPr="00231D80">
        <w:rPr>
          <w:rFonts w:ascii="Arial" w:hAnsi="Arial" w:cs="Arial"/>
          <w:shd w:val="clear" w:color="auto" w:fill="FFFFFF"/>
        </w:rPr>
        <w:t>organization</w:t>
      </w:r>
      <w:r w:rsidRPr="00231D80">
        <w:rPr>
          <w:rFonts w:ascii="Arial" w:hAnsi="Arial" w:cs="Arial"/>
          <w:shd w:val="clear" w:color="auto" w:fill="FFFFFF"/>
        </w:rPr>
        <w:t xml:space="preserve"> of free supply campaigns and setting up private midwifery practices to bring health services closer to remote </w:t>
      </w:r>
      <w:r w:rsidR="00DD0775">
        <w:rPr>
          <w:rFonts w:ascii="Arial" w:hAnsi="Arial" w:cs="Arial"/>
          <w:shd w:val="clear" w:color="auto" w:fill="FFFFFF"/>
        </w:rPr>
        <w:t xml:space="preserve">community </w:t>
      </w:r>
      <w:r w:rsidR="00DD0775">
        <w:rPr>
          <w:rFonts w:ascii="Arial" w:hAnsi="Arial" w:cs="Arial"/>
          <w:shd w:val="clear" w:color="auto" w:fill="FFFFFF"/>
        </w:rPr>
        <w:fldChar w:fldCharType="begin"/>
      </w:r>
      <w:r w:rsidR="00DD0775">
        <w:rPr>
          <w:rFonts w:ascii="Arial" w:hAnsi="Arial" w:cs="Arial"/>
          <w:shd w:val="clear" w:color="auto" w:fill="FFFFFF"/>
        </w:rPr>
        <w:instrText xml:space="preserve"> ADDIN EN.CITE &lt;EndNote&gt;&lt;Cite&gt;&lt;Author&gt;UNFPA&lt;/Author&gt;&lt;Year&gt;2018&lt;/Year&gt;&lt;RecNum&gt;7&lt;/RecNum&gt;&lt;DisplayText&gt;(UNFPA, 2018)&lt;/DisplayText&gt;&lt;record&gt;&lt;rec-number&gt;7&lt;/rec-number&gt;&lt;foreign-keys&gt;&lt;key app="EN" db-id="ztsp2rxfh9awzuew2zpx0px5tf02tf0v0vt5" timestamp="1688576852"&gt;7&lt;/key&gt;&lt;/foreign-keys&gt;&lt;ref-type name="Report"&gt;27&lt;/ref-type&gt;&lt;contributors&gt;&lt;authors&gt;&lt;author&gt;UNFPA&lt;/author&gt;&lt;/authors&gt;&lt;/contributors&gt;&lt;titles&gt;&lt;title&gt;Pursuing rights and choices for all: Annual report.&lt;/title&gt;&lt;/titles&gt;&lt;dates&gt;&lt;year&gt;2018&lt;/year&gt;&lt;/dates&gt;&lt;urls&gt;&lt;related-urls&gt;&lt;url&gt;https://mali.unfpa.org/sites/default/files/pub-pdf/UNFPA%20Mali%20Rapport%20Annuel%202017-2018_landscape.pdf&lt;/url&gt;&lt;/related-urls&gt;&lt;/urls&gt;&lt;/record&gt;&lt;/Cite&gt;&lt;/EndNote&gt;</w:instrText>
      </w:r>
      <w:r w:rsidR="00DD0775">
        <w:rPr>
          <w:rFonts w:ascii="Arial" w:hAnsi="Arial" w:cs="Arial"/>
          <w:shd w:val="clear" w:color="auto" w:fill="FFFFFF"/>
        </w:rPr>
        <w:fldChar w:fldCharType="separate"/>
      </w:r>
      <w:r w:rsidR="00DD0775">
        <w:rPr>
          <w:rFonts w:ascii="Arial" w:hAnsi="Arial" w:cs="Arial"/>
          <w:noProof/>
          <w:shd w:val="clear" w:color="auto" w:fill="FFFFFF"/>
        </w:rPr>
        <w:t>(UNFPA, 2018)</w:t>
      </w:r>
      <w:r w:rsidR="00DD0775">
        <w:rPr>
          <w:rFonts w:ascii="Arial" w:hAnsi="Arial" w:cs="Arial"/>
          <w:shd w:val="clear" w:color="auto" w:fill="FFFFFF"/>
        </w:rPr>
        <w:fldChar w:fldCharType="end"/>
      </w:r>
      <w:r w:rsidRPr="00231D80">
        <w:rPr>
          <w:rFonts w:ascii="Arial" w:hAnsi="Arial" w:cs="Arial"/>
          <w:shd w:val="clear" w:color="auto" w:fill="FFFFFF"/>
        </w:rPr>
        <w:t>.</w:t>
      </w:r>
      <w:r w:rsidR="00947352">
        <w:rPr>
          <w:rFonts w:ascii="Arial" w:hAnsi="Arial" w:cs="Arial"/>
          <w:shd w:val="clear" w:color="auto" w:fill="FFFFFF"/>
        </w:rPr>
        <w:t xml:space="preserve"> </w:t>
      </w:r>
      <w:r w:rsidR="00BC5D09" w:rsidRPr="00BC5D09">
        <w:rPr>
          <w:rFonts w:ascii="Arial" w:hAnsi="Arial" w:cs="Arial"/>
          <w:shd w:val="clear" w:color="auto" w:fill="FFFFFF"/>
        </w:rPr>
        <w:t xml:space="preserve">In addition to these actions, several strategies have been deployed by the World Health Organization </w:t>
      </w:r>
      <w:r w:rsidR="00BC5D09">
        <w:rPr>
          <w:rFonts w:ascii="Arial" w:hAnsi="Arial" w:cs="Arial"/>
          <w:shd w:val="clear" w:color="auto" w:fill="FFFFFF"/>
        </w:rPr>
        <w:t>to</w:t>
      </w:r>
      <w:r w:rsidR="00BC5D09" w:rsidRPr="00BC5D09">
        <w:rPr>
          <w:rFonts w:ascii="Arial" w:hAnsi="Arial" w:cs="Arial"/>
          <w:shd w:val="clear" w:color="auto" w:fill="FFFFFF"/>
        </w:rPr>
        <w:t xml:space="preserve"> reduce the burden of key indicators affecting vulnerable groups such as women and children.</w:t>
      </w:r>
    </w:p>
    <w:p w14:paraId="0AF5ACE8" w14:textId="51E6E415" w:rsidR="00D7537D" w:rsidRPr="00205AB8" w:rsidRDefault="008A54C5" w:rsidP="001D2A06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B56D33">
        <w:rPr>
          <w:rFonts w:ascii="Arial" w:hAnsi="Arial" w:cs="Arial"/>
          <w:shd w:val="clear" w:color="auto" w:fill="FFFFFF"/>
        </w:rPr>
        <w:t>Despite</w:t>
      </w:r>
      <w:r w:rsidR="00B56D33" w:rsidRPr="00B56D33">
        <w:rPr>
          <w:rFonts w:ascii="Arial" w:hAnsi="Arial" w:cs="Arial"/>
          <w:shd w:val="clear" w:color="auto" w:fill="FFFFFF"/>
        </w:rPr>
        <w:t xml:space="preserve"> the high number of midwives in Mali and the government's efforts to provide training in death audit coupled with maternal and perinatal death surveillance and response </w:t>
      </w:r>
      <w:r>
        <w:rPr>
          <w:rFonts w:ascii="Arial" w:hAnsi="Arial" w:cs="Arial"/>
          <w:shd w:val="clear" w:color="auto" w:fill="FFFFFF"/>
        </w:rPr>
        <w:t xml:space="preserve">at most health </w:t>
      </w:r>
      <w:r w:rsidR="00B56D33" w:rsidRPr="00B56D33">
        <w:rPr>
          <w:rFonts w:ascii="Arial" w:hAnsi="Arial" w:cs="Arial"/>
          <w:shd w:val="clear" w:color="auto" w:fill="FFFFFF"/>
        </w:rPr>
        <w:t>facilities in</w:t>
      </w:r>
      <w:r>
        <w:rPr>
          <w:rFonts w:ascii="Arial" w:hAnsi="Arial" w:cs="Arial"/>
          <w:shd w:val="clear" w:color="auto" w:fill="FFFFFF"/>
        </w:rPr>
        <w:t xml:space="preserve"> the country</w:t>
      </w:r>
      <w:r w:rsidR="00B56D33" w:rsidRPr="00B56D33">
        <w:rPr>
          <w:rFonts w:ascii="Arial" w:hAnsi="Arial" w:cs="Arial"/>
          <w:shd w:val="clear" w:color="auto" w:fill="FFFFFF"/>
        </w:rPr>
        <w:t>, maternal and infant mortality rate</w:t>
      </w:r>
      <w:r>
        <w:rPr>
          <w:rFonts w:ascii="Arial" w:hAnsi="Arial" w:cs="Arial"/>
          <w:shd w:val="clear" w:color="auto" w:fill="FFFFFF"/>
        </w:rPr>
        <w:t>s have remained</w:t>
      </w:r>
      <w:r w:rsidR="00B56D33" w:rsidRPr="00B56D33">
        <w:rPr>
          <w:rFonts w:ascii="Arial" w:hAnsi="Arial" w:cs="Arial"/>
          <w:shd w:val="clear" w:color="auto" w:fill="FFFFFF"/>
        </w:rPr>
        <w:t>.</w:t>
      </w:r>
      <w:r w:rsidR="009A2301">
        <w:rPr>
          <w:rFonts w:ascii="Arial" w:hAnsi="Arial" w:cs="Arial"/>
          <w:shd w:val="clear" w:color="auto" w:fill="FFFFFF"/>
        </w:rPr>
        <w:t xml:space="preserve"> </w:t>
      </w:r>
      <w:r w:rsidR="001D2A06" w:rsidRPr="009A2301">
        <w:rPr>
          <w:rFonts w:ascii="Arial" w:hAnsi="Arial" w:cs="Arial"/>
          <w:shd w:val="clear" w:color="auto" w:fill="FFFFFF"/>
        </w:rPr>
        <w:t>However,</w:t>
      </w:r>
      <w:r w:rsidR="009A2301" w:rsidRPr="009A2301">
        <w:rPr>
          <w:rFonts w:ascii="Arial" w:hAnsi="Arial" w:cs="Arial"/>
          <w:shd w:val="clear" w:color="auto" w:fill="FFFFFF"/>
        </w:rPr>
        <w:t xml:space="preserve"> it’s unknown wich most influence maternal and child mortality rate in Mali.</w:t>
      </w:r>
      <w:r w:rsidR="00532910" w:rsidRPr="009A2301">
        <w:rPr>
          <w:rFonts w:ascii="Arial" w:hAnsi="Arial" w:cs="Arial"/>
          <w:shd w:val="clear" w:color="auto" w:fill="FFFFFF"/>
        </w:rPr>
        <w:t xml:space="preserve"> </w:t>
      </w:r>
      <w:r w:rsidR="00205AB8" w:rsidRPr="00205AB8">
        <w:rPr>
          <w:rFonts w:ascii="Roboto" w:hAnsi="Roboto"/>
          <w:color w:val="4A4A4A"/>
          <w:sz w:val="27"/>
          <w:szCs w:val="27"/>
          <w:highlight w:val="yellow"/>
          <w:lang w:val="fr-FR"/>
        </w:rPr>
        <w:t>C’est ainsi que l’Hopital du Mali avec le financement de l’Université des Sciences des Techniques et des Technologies de Bamako en collaboration avec University Clininal Reseach Center (UCRC) a conduit une étude pilote à Sikasso, une des régions du Mali à fort taux de décès maternel et infantile afin d’y évaluer la qualité et l’accessibilité des soins de santé maternelle et infantile.</w:t>
      </w:r>
    </w:p>
    <w:p w14:paraId="27448E6B" w14:textId="6114E57E" w:rsidR="001D2A06" w:rsidRPr="00D7537D" w:rsidRDefault="00205AB8" w:rsidP="001D2A06">
      <w:pPr>
        <w:jc w:val="both"/>
        <w:rPr>
          <w:rFonts w:ascii="Arial" w:hAnsi="Arial" w:cs="Arial"/>
          <w:shd w:val="clear" w:color="auto" w:fill="FFFFFF"/>
        </w:rPr>
      </w:pPr>
      <w:r w:rsidRPr="00D82D96">
        <w:rPr>
          <w:rFonts w:ascii="Arial" w:hAnsi="Arial" w:cs="Arial"/>
          <w:b/>
          <w:bCs/>
        </w:rPr>
        <w:t>Question:</w:t>
      </w:r>
      <w:r>
        <w:rPr>
          <w:rFonts w:ascii="Arial" w:hAnsi="Arial" w:cs="Arial"/>
        </w:rPr>
        <w:t xml:space="preserve"> </w:t>
      </w:r>
      <w:r w:rsidR="00D7537D" w:rsidRPr="00D7537D">
        <w:rPr>
          <w:rFonts w:ascii="Arial" w:hAnsi="Arial" w:cs="Arial"/>
        </w:rPr>
        <w:t xml:space="preserve">How </w:t>
      </w:r>
      <w:r w:rsidR="00D7537D" w:rsidRPr="00D7537D">
        <w:rPr>
          <w:rFonts w:ascii="Arial" w:hAnsi="Arial" w:cs="Arial"/>
          <w:highlight w:val="green"/>
        </w:rPr>
        <w:t>improving access to quality healthcare</w:t>
      </w:r>
      <w:r w:rsidR="00D7537D" w:rsidRPr="00D7537D">
        <w:rPr>
          <w:rFonts w:ascii="Arial" w:hAnsi="Arial" w:cs="Arial"/>
        </w:rPr>
        <w:t xml:space="preserve"> for </w:t>
      </w:r>
      <w:r w:rsidR="00D7537D" w:rsidRPr="00D7537D">
        <w:rPr>
          <w:rFonts w:ascii="Arial" w:hAnsi="Arial" w:cs="Arial"/>
          <w:highlight w:val="cyan"/>
        </w:rPr>
        <w:t>reproductive-age women</w:t>
      </w:r>
      <w:r w:rsidR="00D7537D" w:rsidRPr="00D7537D">
        <w:rPr>
          <w:rFonts w:ascii="Arial" w:hAnsi="Arial" w:cs="Arial"/>
        </w:rPr>
        <w:t xml:space="preserve"> can </w:t>
      </w:r>
      <w:r w:rsidR="00D7537D" w:rsidRPr="00D7537D">
        <w:rPr>
          <w:rFonts w:ascii="Arial" w:hAnsi="Arial" w:cs="Arial"/>
          <w:highlight w:val="lightGray"/>
        </w:rPr>
        <w:t>reduce maternal and infant mortality</w:t>
      </w:r>
      <w:r w:rsidR="00D7537D" w:rsidRPr="00D7537D">
        <w:rPr>
          <w:rFonts w:ascii="Arial" w:hAnsi="Arial" w:cs="Arial"/>
        </w:rPr>
        <w:t xml:space="preserve"> in Mali?</w:t>
      </w:r>
    </w:p>
    <w:p w14:paraId="29C1958D" w14:textId="4142221C" w:rsidR="00532910" w:rsidRPr="00205AB8" w:rsidRDefault="007E5534" w:rsidP="00EF4EBA">
      <w:pPr>
        <w:jc w:val="both"/>
        <w:rPr>
          <w:rFonts w:ascii="Arial" w:hAnsi="Arial" w:cs="Arial"/>
          <w:b/>
          <w:bCs/>
          <w:shd w:val="clear" w:color="auto" w:fill="FFFFFF"/>
          <w:lang w:val="fr-FR"/>
        </w:rPr>
      </w:pPr>
      <w:r w:rsidRPr="00205AB8">
        <w:rPr>
          <w:rFonts w:ascii="Arial" w:hAnsi="Arial" w:cs="Arial"/>
          <w:b/>
          <w:bCs/>
          <w:shd w:val="clear" w:color="auto" w:fill="FFFFFF"/>
          <w:lang w:val="fr-FR"/>
        </w:rPr>
        <w:t>Goal:</w:t>
      </w:r>
    </w:p>
    <w:p w14:paraId="44C13E69" w14:textId="1C260C3A" w:rsidR="00FA092D" w:rsidRDefault="00205AB8" w:rsidP="00EF4EBA">
      <w:pPr>
        <w:jc w:val="both"/>
        <w:rPr>
          <w:rFonts w:ascii="Arial" w:hAnsi="Arial" w:cs="Arial"/>
          <w:color w:val="4A4A4A"/>
          <w:lang w:val="fr-FR"/>
        </w:rPr>
      </w:pPr>
      <w:r w:rsidRPr="003C6B84">
        <w:rPr>
          <w:rFonts w:ascii="Arial" w:hAnsi="Arial" w:cs="Arial"/>
          <w:color w:val="4A4A4A"/>
          <w:highlight w:val="yellow"/>
          <w:lang w:val="fr-FR"/>
        </w:rPr>
        <w:t>Evaluer la qualité et l’accessibilité des soins de santé maternelle et infantile.</w:t>
      </w:r>
    </w:p>
    <w:p w14:paraId="04D870B7" w14:textId="77777777" w:rsidR="00D82D96" w:rsidRPr="003C6B84" w:rsidRDefault="00D82D96" w:rsidP="00EF4EBA">
      <w:pPr>
        <w:jc w:val="both"/>
        <w:rPr>
          <w:rFonts w:ascii="Arial" w:hAnsi="Arial" w:cs="Arial"/>
          <w:b/>
          <w:bCs/>
          <w:shd w:val="clear" w:color="auto" w:fill="FFFFFF"/>
          <w:lang w:val="fr-FR"/>
        </w:rPr>
      </w:pPr>
    </w:p>
    <w:p w14:paraId="43A86AA2" w14:textId="77777777" w:rsidR="00D82D96" w:rsidRPr="00D82D96" w:rsidRDefault="00D82D96" w:rsidP="00D82D96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lastRenderedPageBreak/>
        <w:t>Study Area &amp; Population:</w:t>
      </w:r>
    </w:p>
    <w:p w14:paraId="2F0FAA1C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The study will be conducted in three villages located in Sikasso, a region in Mali with a high rate of maternal and infant deaths.</w:t>
      </w:r>
    </w:p>
    <w:p w14:paraId="06FDC52C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The focus of the study will be women of childbearing age residing in the three villages: Kologoba, Niena, and Zegoua.</w:t>
      </w:r>
    </w:p>
    <w:p w14:paraId="5081EA05" w14:textId="77777777" w:rsidR="00D82D96" w:rsidRPr="00D82D96" w:rsidRDefault="00D82D96" w:rsidP="00D82D96">
      <w:pPr>
        <w:numPr>
          <w:ilvl w:val="0"/>
          <w:numId w:val="1"/>
        </w:numPr>
        <w:spacing w:before="240"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>Study Design:</w:t>
      </w:r>
    </w:p>
    <w:p w14:paraId="22FBB522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A cross-sectional study design will be used.</w:t>
      </w:r>
    </w:p>
    <w:p w14:paraId="2D60A1BC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Data collection will involve the use of questionnaires, which will be filled out based on information from obstetric records and maternal death registers.</w:t>
      </w:r>
    </w:p>
    <w:p w14:paraId="6F296E9A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The study period will be from January 1 to December 31, 2023, spanning 12 months.</w:t>
      </w:r>
    </w:p>
    <w:p w14:paraId="23850AD3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Cases of maternal death recorded from other villages or beyond 42 days postpartum, regardless of origin, will be excluded.</w:t>
      </w:r>
    </w:p>
    <w:p w14:paraId="41FD0450" w14:textId="77777777" w:rsidR="00D82D96" w:rsidRPr="00D82D96" w:rsidRDefault="00D82D96" w:rsidP="00D82D96">
      <w:pPr>
        <w:numPr>
          <w:ilvl w:val="0"/>
          <w:numId w:val="1"/>
        </w:numPr>
        <w:spacing w:before="240"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>Data Collection:</w:t>
      </w:r>
    </w:p>
    <w:p w14:paraId="229B4BBA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Electronic data capture will be implemented using REDCAP, a secure web application for data management.</w:t>
      </w:r>
    </w:p>
    <w:p w14:paraId="3AB4F02B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In case of application failure, paper versions of the questionnaires will be available as a backup.</w:t>
      </w:r>
    </w:p>
    <w:p w14:paraId="4A6E740B" w14:textId="77777777" w:rsidR="00D82D96" w:rsidRPr="00D82D96" w:rsidRDefault="00D82D96" w:rsidP="00D82D96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All maternal deaths meeting the inclusion criteria and recorded in the three villages during the study period will be exhaustively registered.</w:t>
      </w:r>
    </w:p>
    <w:p w14:paraId="0A669C59" w14:textId="77777777" w:rsidR="00D82D96" w:rsidRPr="00D82D96" w:rsidRDefault="00D82D96" w:rsidP="00D82D96">
      <w:pPr>
        <w:numPr>
          <w:ilvl w:val="0"/>
          <w:numId w:val="1"/>
        </w:numPr>
        <w:spacing w:before="240"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>Statistical Methods:</w:t>
      </w:r>
    </w:p>
    <w:p w14:paraId="1D88A759" w14:textId="77777777" w:rsidR="00D82D96" w:rsidRPr="00D82D96" w:rsidRDefault="00D82D96" w:rsidP="00D82D96">
      <w:pPr>
        <w:numPr>
          <w:ilvl w:val="1"/>
          <w:numId w:val="1"/>
        </w:numPr>
        <w:tabs>
          <w:tab w:val="num" w:pos="990"/>
        </w:tabs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Data analysis will be performed using R-Studio software version 4.3.0.</w:t>
      </w:r>
    </w:p>
    <w:p w14:paraId="1E88D0D5" w14:textId="77777777" w:rsidR="00D82D96" w:rsidRPr="00D82D96" w:rsidRDefault="00D82D96" w:rsidP="00D82D96">
      <w:pPr>
        <w:numPr>
          <w:ilvl w:val="1"/>
          <w:numId w:val="1"/>
        </w:numPr>
        <w:tabs>
          <w:tab w:val="num" w:pos="990"/>
        </w:tabs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The chi-square test or Fisher's exact test will be employed to analyze proportions.</w:t>
      </w:r>
    </w:p>
    <w:p w14:paraId="01C04A82" w14:textId="77777777" w:rsidR="00D82D96" w:rsidRPr="00D82D96" w:rsidRDefault="00D82D96" w:rsidP="00D82D96">
      <w:pPr>
        <w:numPr>
          <w:ilvl w:val="1"/>
          <w:numId w:val="1"/>
        </w:numPr>
        <w:tabs>
          <w:tab w:val="num" w:pos="990"/>
        </w:tabs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The significance threshold will be set at α=0.05.</w:t>
      </w:r>
    </w:p>
    <w:p w14:paraId="48F70982" w14:textId="77777777" w:rsidR="00D82D96" w:rsidRPr="00D82D96" w:rsidRDefault="00D82D96" w:rsidP="00D82D96">
      <w:pPr>
        <w:numPr>
          <w:ilvl w:val="1"/>
          <w:numId w:val="1"/>
        </w:numPr>
        <w:tabs>
          <w:tab w:val="num" w:pos="990"/>
        </w:tabs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Logistic regression will be utilized to assess the risk factors associated with maternal and infant mortality.</w:t>
      </w:r>
    </w:p>
    <w:p w14:paraId="4834A77B" w14:textId="77777777" w:rsidR="00D82D96" w:rsidRPr="00D82D96" w:rsidRDefault="00D82D96" w:rsidP="00D82D96">
      <w:pPr>
        <w:numPr>
          <w:ilvl w:val="0"/>
          <w:numId w:val="1"/>
        </w:numPr>
        <w:spacing w:before="240" w:after="0" w:line="240" w:lineRule="auto"/>
        <w:jc w:val="both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14:ligatures w14:val="none"/>
        </w:rPr>
        <w:t>Ethical Aspect:</w:t>
      </w:r>
    </w:p>
    <w:p w14:paraId="2709EFB4" w14:textId="77777777" w:rsidR="00D82D96" w:rsidRPr="00D82D96" w:rsidRDefault="00D82D96" w:rsidP="00D82D96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Approval from the FMOS Ethics Committee will be sought to ensure the study's ethical compliance.</w:t>
      </w:r>
    </w:p>
    <w:p w14:paraId="433D93F3" w14:textId="77777777" w:rsidR="00D82D96" w:rsidRPr="00D82D96" w:rsidRDefault="00D82D96" w:rsidP="00D82D96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</w:pPr>
      <w:r w:rsidRPr="00D82D9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>Participants' anonymity will be respected to protect their privacy and confidentiality.</w:t>
      </w:r>
    </w:p>
    <w:p w14:paraId="710A7562" w14:textId="77777777" w:rsidR="003C6B84" w:rsidRPr="00D82D96" w:rsidRDefault="003C6B84" w:rsidP="00EF4EBA">
      <w:pPr>
        <w:pStyle w:val="EndNoteBibliography"/>
        <w:ind w:left="720" w:hanging="720"/>
        <w:jc w:val="both"/>
        <w:rPr>
          <w:rFonts w:ascii="Arial" w:hAnsi="Arial" w:cs="Arial"/>
          <w:b/>
          <w:bCs/>
          <w:color w:val="000000" w:themeColor="text1"/>
        </w:rPr>
      </w:pPr>
    </w:p>
    <w:p w14:paraId="54E7DF4A" w14:textId="77777777" w:rsidR="003C6B84" w:rsidRPr="00D82D96" w:rsidRDefault="003C6B84" w:rsidP="00EF4EBA">
      <w:pPr>
        <w:pStyle w:val="EndNoteBibliography"/>
        <w:ind w:left="720" w:hanging="720"/>
        <w:jc w:val="both"/>
        <w:rPr>
          <w:rFonts w:ascii="Arial" w:hAnsi="Arial" w:cs="Arial"/>
          <w:b/>
          <w:bCs/>
          <w:color w:val="000000" w:themeColor="text1"/>
        </w:rPr>
      </w:pPr>
    </w:p>
    <w:p w14:paraId="3BB8AB8B" w14:textId="77777777" w:rsidR="003C6B84" w:rsidRPr="00D82D96" w:rsidRDefault="003C6B84" w:rsidP="00EF4EBA">
      <w:pPr>
        <w:pStyle w:val="EndNoteBibliography"/>
        <w:ind w:left="720" w:hanging="720"/>
        <w:jc w:val="both"/>
        <w:rPr>
          <w:rFonts w:ascii="Arial" w:hAnsi="Arial" w:cs="Arial"/>
          <w:b/>
          <w:bCs/>
          <w:color w:val="000000" w:themeColor="text1"/>
        </w:rPr>
      </w:pPr>
    </w:p>
    <w:p w14:paraId="3EE595FA" w14:textId="5E6DF764" w:rsidR="00F22DE9" w:rsidRPr="00D82D96" w:rsidRDefault="009D66E8" w:rsidP="00EF4EBA">
      <w:pPr>
        <w:pStyle w:val="EndNoteBibliography"/>
        <w:ind w:left="720" w:hanging="720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 w:rsidRPr="00D82D96">
        <w:rPr>
          <w:rFonts w:ascii="Arial" w:hAnsi="Arial" w:cs="Arial"/>
          <w:b/>
          <w:bCs/>
          <w:color w:val="000000" w:themeColor="text1"/>
          <w:lang w:val="fr-FR"/>
        </w:rPr>
        <w:t>REFERENCES</w:t>
      </w:r>
    </w:p>
    <w:p w14:paraId="77ACE960" w14:textId="77777777" w:rsidR="0005478B" w:rsidRPr="0005478B" w:rsidRDefault="00F22DE9" w:rsidP="0005478B">
      <w:pPr>
        <w:pStyle w:val="EndNoteBibliography"/>
        <w:spacing w:after="0"/>
        <w:ind w:left="720" w:hanging="720"/>
      </w:pPr>
      <w:r w:rsidRPr="00DD0775">
        <w:rPr>
          <w:rFonts w:ascii="Arial" w:hAnsi="Arial" w:cs="Arial"/>
        </w:rPr>
        <w:fldChar w:fldCharType="begin"/>
      </w:r>
      <w:r w:rsidRPr="00DD0775">
        <w:rPr>
          <w:rFonts w:ascii="Arial" w:hAnsi="Arial" w:cs="Arial"/>
        </w:rPr>
        <w:instrText xml:space="preserve"> ADDIN EN.REFLIST </w:instrText>
      </w:r>
      <w:r w:rsidRPr="00DD0775">
        <w:rPr>
          <w:rFonts w:ascii="Arial" w:hAnsi="Arial" w:cs="Arial"/>
        </w:rPr>
        <w:fldChar w:fldCharType="separate"/>
      </w:r>
      <w:r w:rsidR="0005478B" w:rsidRPr="0005478B">
        <w:t xml:space="preserve">D.H.S. (2018 ). Demographic and Health Survey : Key Findings. </w:t>
      </w:r>
    </w:p>
    <w:p w14:paraId="78EA4B1D" w14:textId="77777777" w:rsidR="0005478B" w:rsidRPr="0005478B" w:rsidRDefault="0005478B" w:rsidP="0005478B">
      <w:pPr>
        <w:pStyle w:val="EndNoteBibliography"/>
        <w:spacing w:after="0"/>
        <w:ind w:left="720" w:hanging="720"/>
      </w:pPr>
      <w:r w:rsidRPr="0005478B">
        <w:lastRenderedPageBreak/>
        <w:t>INSTAT. (2021). Annual Malien Statistical Yearbook. .</w:t>
      </w:r>
    </w:p>
    <w:p w14:paraId="630D91A4" w14:textId="77777777" w:rsidR="0005478B" w:rsidRPr="0005478B" w:rsidRDefault="0005478B" w:rsidP="0005478B">
      <w:pPr>
        <w:pStyle w:val="EndNoteBibliography"/>
        <w:spacing w:after="0"/>
        <w:ind w:left="720" w:hanging="720"/>
      </w:pPr>
      <w:r w:rsidRPr="0005478B">
        <w:t xml:space="preserve">Ornella Moderan, F. M. (2017). Maternal mortality in Mali: a forgotten tragedy. </w:t>
      </w:r>
    </w:p>
    <w:p w14:paraId="281FDFE3" w14:textId="40D0D5A7" w:rsidR="0005478B" w:rsidRPr="0005478B" w:rsidRDefault="0005478B" w:rsidP="0005478B">
      <w:pPr>
        <w:pStyle w:val="EndNoteBibliography"/>
        <w:spacing w:after="0"/>
        <w:ind w:left="720" w:hanging="720"/>
      </w:pPr>
      <w:r w:rsidRPr="0005478B">
        <w:t xml:space="preserve">UNFPA. (2018). </w:t>
      </w:r>
      <w:r w:rsidRPr="0005478B">
        <w:rPr>
          <w:i/>
        </w:rPr>
        <w:t>Pursuing rights and choices for all: Annual report.</w:t>
      </w:r>
      <w:r w:rsidRPr="0005478B">
        <w:t xml:space="preserve"> Retrieved from </w:t>
      </w:r>
      <w:hyperlink r:id="rId5" w:history="1">
        <w:r w:rsidRPr="0005478B">
          <w:rPr>
            <w:rStyle w:val="Hyperlink"/>
          </w:rPr>
          <w:t>https://mali.unfpa.org/sites/default/files/pub-pdf/UNFPA%20Mali%20Rapport%20Annuel%202017-2018_landscape.pdf</w:t>
        </w:r>
      </w:hyperlink>
    </w:p>
    <w:p w14:paraId="59A5400B" w14:textId="77777777" w:rsidR="0005478B" w:rsidRPr="0005478B" w:rsidRDefault="0005478B" w:rsidP="0005478B">
      <w:pPr>
        <w:pStyle w:val="EndNoteBibliography"/>
        <w:ind w:left="720" w:hanging="720"/>
      </w:pPr>
      <w:r w:rsidRPr="0005478B">
        <w:t xml:space="preserve">UNICEF. (2023). UNICEF data: Monotoring the situation of children and woman. </w:t>
      </w:r>
    </w:p>
    <w:p w14:paraId="65321E01" w14:textId="5049B257" w:rsidR="000446B0" w:rsidRPr="00DD0775" w:rsidRDefault="00F22DE9" w:rsidP="00EF4EBA">
      <w:pPr>
        <w:jc w:val="both"/>
        <w:rPr>
          <w:rFonts w:ascii="Arial" w:hAnsi="Arial" w:cs="Arial"/>
        </w:rPr>
      </w:pPr>
      <w:r w:rsidRPr="00DD0775">
        <w:rPr>
          <w:rFonts w:ascii="Arial" w:hAnsi="Arial" w:cs="Arial"/>
        </w:rPr>
        <w:fldChar w:fldCharType="end"/>
      </w:r>
    </w:p>
    <w:sectPr w:rsidR="000446B0" w:rsidRPr="00DD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3BC"/>
    <w:multiLevelType w:val="multilevel"/>
    <w:tmpl w:val="C82A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sp2rxfh9awzuew2zpx0px5tf02tf0v0vt5&quot;&gt;TD_G4&lt;record-ids&gt;&lt;item&gt;2&lt;/item&gt;&lt;item&gt;3&lt;/item&gt;&lt;item&gt;4&lt;/item&gt;&lt;item&gt;7&lt;/item&gt;&lt;item&gt;8&lt;/item&gt;&lt;/record-ids&gt;&lt;/item&gt;&lt;/Libraries&gt;"/>
  </w:docVars>
  <w:rsids>
    <w:rsidRoot w:val="00EA3344"/>
    <w:rsid w:val="000405F3"/>
    <w:rsid w:val="000446B0"/>
    <w:rsid w:val="00047D38"/>
    <w:rsid w:val="0005478B"/>
    <w:rsid w:val="00085E3F"/>
    <w:rsid w:val="000D4F67"/>
    <w:rsid w:val="001D2A06"/>
    <w:rsid w:val="001E5021"/>
    <w:rsid w:val="001F02E1"/>
    <w:rsid w:val="00205AB8"/>
    <w:rsid w:val="00231D80"/>
    <w:rsid w:val="00262CB8"/>
    <w:rsid w:val="002727CF"/>
    <w:rsid w:val="0028643F"/>
    <w:rsid w:val="003C6B84"/>
    <w:rsid w:val="004A5E40"/>
    <w:rsid w:val="00532910"/>
    <w:rsid w:val="00560811"/>
    <w:rsid w:val="005C1F12"/>
    <w:rsid w:val="005E5CBA"/>
    <w:rsid w:val="00675B16"/>
    <w:rsid w:val="006778C7"/>
    <w:rsid w:val="006D0123"/>
    <w:rsid w:val="0075205F"/>
    <w:rsid w:val="007A135C"/>
    <w:rsid w:val="007B7464"/>
    <w:rsid w:val="007E5534"/>
    <w:rsid w:val="0082057E"/>
    <w:rsid w:val="0082263A"/>
    <w:rsid w:val="008A54C5"/>
    <w:rsid w:val="00947352"/>
    <w:rsid w:val="009867A1"/>
    <w:rsid w:val="009A2301"/>
    <w:rsid w:val="009D66E8"/>
    <w:rsid w:val="009E33CD"/>
    <w:rsid w:val="009E72F9"/>
    <w:rsid w:val="009F6107"/>
    <w:rsid w:val="00A6282D"/>
    <w:rsid w:val="00A8771F"/>
    <w:rsid w:val="00AC63EF"/>
    <w:rsid w:val="00B56D33"/>
    <w:rsid w:val="00B6056B"/>
    <w:rsid w:val="00BC5D09"/>
    <w:rsid w:val="00C46CE8"/>
    <w:rsid w:val="00C51AE5"/>
    <w:rsid w:val="00C9360A"/>
    <w:rsid w:val="00CA2561"/>
    <w:rsid w:val="00CB0B4C"/>
    <w:rsid w:val="00CE2BF2"/>
    <w:rsid w:val="00CF3DB4"/>
    <w:rsid w:val="00D7537D"/>
    <w:rsid w:val="00D82D96"/>
    <w:rsid w:val="00D95A8E"/>
    <w:rsid w:val="00DA258D"/>
    <w:rsid w:val="00DD0775"/>
    <w:rsid w:val="00EA3344"/>
    <w:rsid w:val="00EE45F4"/>
    <w:rsid w:val="00EF4EBA"/>
    <w:rsid w:val="00F00550"/>
    <w:rsid w:val="00F22DE9"/>
    <w:rsid w:val="00F95266"/>
    <w:rsid w:val="00F971E7"/>
    <w:rsid w:val="00FA092D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A3E5"/>
  <w15:chartTrackingRefBased/>
  <w15:docId w15:val="{E5DA97B0-FBAE-4018-BD75-317F305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F22DE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22DE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F22DE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F22DE9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85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4E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D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D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47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653023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958897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li.unfpa.org/sites/default/files/pub-pdf/UNFPA%20Mali%20Rapport%20Annuel%202017-2018_landscap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Soumba Keita</dc:creator>
  <cp:keywords/>
  <dc:description/>
  <cp:lastModifiedBy>Modibo Sangare</cp:lastModifiedBy>
  <cp:revision>2</cp:revision>
  <dcterms:created xsi:type="dcterms:W3CDTF">2023-07-12T05:15:00Z</dcterms:created>
  <dcterms:modified xsi:type="dcterms:W3CDTF">2023-07-12T05:15:00Z</dcterms:modified>
</cp:coreProperties>
</file>