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7B29B" w14:textId="6F62B466" w:rsidR="00BB2701" w:rsidRPr="002E3B71" w:rsidRDefault="002E3B71" w:rsidP="002E3B71">
      <w:pPr>
        <w:jc w:val="center"/>
        <w:rPr>
          <w:b/>
          <w:sz w:val="28"/>
          <w:szCs w:val="28"/>
        </w:rPr>
      </w:pPr>
      <w:r w:rsidRPr="002E3B71">
        <w:rPr>
          <w:b/>
          <w:sz w:val="28"/>
          <w:szCs w:val="28"/>
        </w:rPr>
        <w:t xml:space="preserve">Plaquette de présentation du </w:t>
      </w:r>
      <w:r w:rsidR="00DF68D8">
        <w:rPr>
          <w:b/>
          <w:sz w:val="28"/>
          <w:szCs w:val="28"/>
        </w:rPr>
        <w:t>Module</w:t>
      </w:r>
      <w:r w:rsidRPr="002E3B71">
        <w:rPr>
          <w:b/>
          <w:sz w:val="28"/>
          <w:szCs w:val="28"/>
        </w:rPr>
        <w:t xml:space="preserve"> de formation en santé de la reproduction du DERSP/FMOS</w:t>
      </w:r>
    </w:p>
    <w:tbl>
      <w:tblPr>
        <w:tblStyle w:val="Grilledutableau"/>
        <w:tblW w:w="9067" w:type="dxa"/>
        <w:tblLook w:val="04A0" w:firstRow="1" w:lastRow="0" w:firstColumn="1" w:lastColumn="0" w:noHBand="0" w:noVBand="1"/>
      </w:tblPr>
      <w:tblGrid>
        <w:gridCol w:w="4106"/>
        <w:gridCol w:w="4961"/>
      </w:tblGrid>
      <w:tr w:rsidR="00DF68D8" w:rsidRPr="00C35D55" w14:paraId="25489C9C" w14:textId="77777777" w:rsidTr="00014987">
        <w:trPr>
          <w:trHeight w:val="956"/>
        </w:trPr>
        <w:tc>
          <w:tcPr>
            <w:tcW w:w="4106" w:type="dxa"/>
          </w:tcPr>
          <w:p w14:paraId="4F0BAA4B" w14:textId="77777777" w:rsidR="00DF68D8" w:rsidRPr="00C35D55" w:rsidRDefault="00DF68D8" w:rsidP="00644E0E">
            <w:r w:rsidRPr="00C35D55">
              <w:t xml:space="preserve">Titre du programme de formation </w:t>
            </w:r>
          </w:p>
        </w:tc>
        <w:tc>
          <w:tcPr>
            <w:tcW w:w="4961" w:type="dxa"/>
          </w:tcPr>
          <w:p w14:paraId="0D90CBC0" w14:textId="77777777" w:rsidR="00DF68D8" w:rsidRPr="00314C40" w:rsidRDefault="00DF68D8" w:rsidP="00314C40">
            <w:pPr>
              <w:jc w:val="center"/>
            </w:pPr>
            <w:r w:rsidRPr="00C35D55">
              <w:rPr>
                <w:b/>
              </w:rPr>
              <w:t>Module</w:t>
            </w:r>
            <w:r>
              <w:rPr>
                <w:b/>
              </w:rPr>
              <w:t xml:space="preserve"> SR en master de santé publique tronc commun</w:t>
            </w:r>
          </w:p>
        </w:tc>
      </w:tr>
      <w:tr w:rsidR="00DF68D8" w:rsidRPr="00C35D55" w14:paraId="6B5D5FC5" w14:textId="77777777" w:rsidTr="00014987">
        <w:tc>
          <w:tcPr>
            <w:tcW w:w="4106" w:type="dxa"/>
          </w:tcPr>
          <w:p w14:paraId="6DACE4EF" w14:textId="77777777" w:rsidR="00DF68D8" w:rsidRPr="00C35D55" w:rsidRDefault="00DF68D8">
            <w:r w:rsidRPr="00C35D55">
              <w:t>Durée</w:t>
            </w:r>
          </w:p>
        </w:tc>
        <w:tc>
          <w:tcPr>
            <w:tcW w:w="4961" w:type="dxa"/>
          </w:tcPr>
          <w:p w14:paraId="1CD7A3FB" w14:textId="77777777" w:rsidR="00DF68D8" w:rsidRPr="00C35D55" w:rsidRDefault="00DF68D8" w:rsidP="005D3C0F">
            <w:pPr>
              <w:jc w:val="center"/>
            </w:pPr>
            <w:r>
              <w:t>30 heures (3 crédits)</w:t>
            </w:r>
          </w:p>
        </w:tc>
      </w:tr>
      <w:tr w:rsidR="00DF68D8" w:rsidRPr="00C35D55" w14:paraId="243A94F2" w14:textId="77777777" w:rsidTr="00014987">
        <w:tc>
          <w:tcPr>
            <w:tcW w:w="4106" w:type="dxa"/>
          </w:tcPr>
          <w:p w14:paraId="782FF3C9" w14:textId="77777777" w:rsidR="00DF68D8" w:rsidRPr="00C35D55" w:rsidRDefault="00DF68D8">
            <w:r w:rsidRPr="00C35D55">
              <w:t>Cibles</w:t>
            </w:r>
          </w:p>
        </w:tc>
        <w:tc>
          <w:tcPr>
            <w:tcW w:w="4961" w:type="dxa"/>
          </w:tcPr>
          <w:p w14:paraId="62A86386" w14:textId="77777777" w:rsidR="00DF68D8" w:rsidRDefault="00DF68D8" w:rsidP="00650B4E">
            <w:pPr>
              <w:pStyle w:val="Paragraphedeliste"/>
              <w:numPr>
                <w:ilvl w:val="0"/>
                <w:numId w:val="6"/>
              </w:numPr>
              <w:ind w:left="405" w:hanging="284"/>
            </w:pPr>
            <w:r w:rsidRPr="00F72592">
              <w:t>Docteurs en Médecine ou en Pharmacie</w:t>
            </w:r>
            <w:r>
              <w:t xml:space="preserve">, </w:t>
            </w:r>
          </w:p>
          <w:p w14:paraId="70FEEF1B" w14:textId="77777777" w:rsidR="00DF68D8" w:rsidRPr="00F72592" w:rsidRDefault="00DF68D8" w:rsidP="00650B4E">
            <w:pPr>
              <w:pStyle w:val="Paragraphedeliste"/>
              <w:numPr>
                <w:ilvl w:val="0"/>
                <w:numId w:val="6"/>
              </w:numPr>
              <w:ind w:left="405" w:hanging="284"/>
            </w:pPr>
            <w:r w:rsidRPr="00F72592">
              <w:t xml:space="preserve">Professionnels de la santé et de l’action sociale titulaires de bac + 3, </w:t>
            </w:r>
          </w:p>
          <w:p w14:paraId="7F27E06E" w14:textId="77777777" w:rsidR="00DF68D8" w:rsidRPr="00C35D55" w:rsidRDefault="00DF68D8" w:rsidP="00314C40">
            <w:pPr>
              <w:pStyle w:val="Paragraphedeliste"/>
              <w:numPr>
                <w:ilvl w:val="0"/>
                <w:numId w:val="6"/>
              </w:numPr>
              <w:ind w:left="405" w:hanging="284"/>
            </w:pPr>
            <w:r w:rsidRPr="00F72592">
              <w:t>Ingénieurs sanitaires</w:t>
            </w:r>
          </w:p>
        </w:tc>
      </w:tr>
      <w:tr w:rsidR="00DF68D8" w:rsidRPr="00C35D55" w14:paraId="773DFFB4" w14:textId="77777777" w:rsidTr="00014987">
        <w:tc>
          <w:tcPr>
            <w:tcW w:w="4106" w:type="dxa"/>
          </w:tcPr>
          <w:p w14:paraId="7670DFA7" w14:textId="77777777" w:rsidR="00DF68D8" w:rsidRPr="00C35D55" w:rsidRDefault="00DF68D8">
            <w:r w:rsidRPr="00C35D55">
              <w:t>Facilitateurs</w:t>
            </w:r>
          </w:p>
        </w:tc>
        <w:tc>
          <w:tcPr>
            <w:tcW w:w="4961" w:type="dxa"/>
          </w:tcPr>
          <w:p w14:paraId="6340FE68" w14:textId="0A45BDDC" w:rsidR="00DF68D8" w:rsidRDefault="00014987" w:rsidP="00650B4E">
            <w:pPr>
              <w:pStyle w:val="Paragraphedeliste"/>
              <w:numPr>
                <w:ilvl w:val="0"/>
                <w:numId w:val="7"/>
              </w:numPr>
              <w:ind w:left="405" w:hanging="284"/>
            </w:pPr>
            <w:r>
              <w:t>Pr Adama Diawara,</w:t>
            </w:r>
          </w:p>
          <w:p w14:paraId="573475C5" w14:textId="77777777" w:rsidR="00014987" w:rsidRDefault="00014987" w:rsidP="00650B4E">
            <w:pPr>
              <w:pStyle w:val="Paragraphedeliste"/>
              <w:numPr>
                <w:ilvl w:val="0"/>
                <w:numId w:val="7"/>
              </w:numPr>
              <w:ind w:left="405" w:hanging="284"/>
            </w:pPr>
            <w:r>
              <w:t>Dr Lalla F. Traoré</w:t>
            </w:r>
          </w:p>
          <w:p w14:paraId="40B5ECC1" w14:textId="77777777" w:rsidR="00014987" w:rsidRDefault="00014987" w:rsidP="00650B4E">
            <w:pPr>
              <w:pStyle w:val="Paragraphedeliste"/>
              <w:numPr>
                <w:ilvl w:val="0"/>
                <w:numId w:val="7"/>
              </w:numPr>
              <w:ind w:left="405" w:hanging="284"/>
            </w:pPr>
            <w:r>
              <w:t>Dr Fanta Sangho</w:t>
            </w:r>
          </w:p>
          <w:p w14:paraId="4F6CB59F" w14:textId="36A41BC0" w:rsidR="00DF68D8" w:rsidRPr="00C35D55" w:rsidRDefault="00014987" w:rsidP="00014987">
            <w:pPr>
              <w:pStyle w:val="Paragraphedeliste"/>
              <w:numPr>
                <w:ilvl w:val="0"/>
                <w:numId w:val="7"/>
              </w:numPr>
              <w:ind w:left="405" w:hanging="284"/>
            </w:pPr>
            <w:r>
              <w:t>Dr Moctar Tounkara</w:t>
            </w:r>
          </w:p>
        </w:tc>
      </w:tr>
      <w:tr w:rsidR="00DF68D8" w:rsidRPr="00C35D55" w14:paraId="1EAD8E58" w14:textId="77777777" w:rsidTr="00014987">
        <w:tc>
          <w:tcPr>
            <w:tcW w:w="4106" w:type="dxa"/>
          </w:tcPr>
          <w:p w14:paraId="20878E82" w14:textId="1E489104" w:rsidR="00DF68D8" w:rsidRPr="00C35D55" w:rsidRDefault="00DF68D8">
            <w:r w:rsidRPr="00C35D55">
              <w:t>Importance</w:t>
            </w:r>
          </w:p>
        </w:tc>
        <w:tc>
          <w:tcPr>
            <w:tcW w:w="4961" w:type="dxa"/>
          </w:tcPr>
          <w:p w14:paraId="0B72DD48" w14:textId="77777777" w:rsidR="00DF68D8" w:rsidRPr="00C35D55" w:rsidRDefault="00DF68D8" w:rsidP="00507E55">
            <w:pPr>
              <w:spacing w:before="75" w:after="225" w:line="270" w:lineRule="atLeast"/>
              <w:jc w:val="both"/>
            </w:pPr>
            <w:r w:rsidRPr="00C35D55">
              <w:t xml:space="preserve">Depuis la CIPD en 1994, le lien entre les questions de développement et de santé sexuelle et reproductive est devenu évident. Dans ce sens la promotion de la connaissance et des compétences pour mieux répondre aux besoins des populations et particulièrement à ceux des femmes en matière de santé et droits sexuels et reproductive ceci quels que soient les contextes. </w:t>
            </w:r>
          </w:p>
        </w:tc>
      </w:tr>
      <w:tr w:rsidR="00DF68D8" w:rsidRPr="00C35D55" w14:paraId="0791C8BA" w14:textId="77777777" w:rsidTr="00014987">
        <w:tc>
          <w:tcPr>
            <w:tcW w:w="4106" w:type="dxa"/>
          </w:tcPr>
          <w:p w14:paraId="033A75A1" w14:textId="77777777" w:rsidR="00DF68D8" w:rsidRPr="00C35D55" w:rsidRDefault="00DF68D8" w:rsidP="00583B15">
            <w:r w:rsidRPr="00C35D55">
              <w:t>Objectifs</w:t>
            </w:r>
            <w:r>
              <w:t>/Résultats d’apprentissage</w:t>
            </w:r>
          </w:p>
        </w:tc>
        <w:tc>
          <w:tcPr>
            <w:tcW w:w="4961" w:type="dxa"/>
          </w:tcPr>
          <w:p w14:paraId="74BF42AE" w14:textId="77777777" w:rsidR="00DF68D8" w:rsidRPr="00C35D55" w:rsidRDefault="00DF68D8" w:rsidP="00583B15">
            <w:r w:rsidRPr="00C35D55">
              <w:t>A la fin du module, les participants devraient être capable de :</w:t>
            </w:r>
          </w:p>
          <w:p w14:paraId="686DF8F5" w14:textId="02ECB1D5" w:rsidR="00DF68D8" w:rsidRPr="00C35D55" w:rsidRDefault="00DF68D8" w:rsidP="00583B15">
            <w:pPr>
              <w:pStyle w:val="Paragraphedeliste"/>
              <w:numPr>
                <w:ilvl w:val="0"/>
                <w:numId w:val="3"/>
              </w:numPr>
              <w:ind w:left="176" w:hanging="142"/>
            </w:pPr>
            <w:r w:rsidRPr="00C35D55">
              <w:t>Définir les concepts de santé sexuelle et reproductive</w:t>
            </w:r>
            <w:r>
              <w:t>,</w:t>
            </w:r>
          </w:p>
          <w:p w14:paraId="5DF4C790" w14:textId="42AC51DC" w:rsidR="00DF68D8" w:rsidRDefault="00DF68D8" w:rsidP="00583B15">
            <w:pPr>
              <w:pStyle w:val="Paragraphedeliste"/>
              <w:numPr>
                <w:ilvl w:val="0"/>
                <w:numId w:val="3"/>
              </w:numPr>
              <w:ind w:left="176" w:hanging="142"/>
            </w:pPr>
            <w:r>
              <w:t xml:space="preserve">Expliquer les </w:t>
            </w:r>
            <w:r w:rsidRPr="00C35D55">
              <w:t xml:space="preserve">concepts </w:t>
            </w:r>
            <w:r>
              <w:t xml:space="preserve">d’équité et d’égalité en matière de SDSR et du développement durable. </w:t>
            </w:r>
            <w:r w:rsidRPr="00C35D55">
              <w:t> ;</w:t>
            </w:r>
          </w:p>
          <w:p w14:paraId="1298C31F" w14:textId="7976335F" w:rsidR="00DF68D8" w:rsidRPr="00C35D55" w:rsidRDefault="00DF68D8" w:rsidP="00583B15">
            <w:pPr>
              <w:pStyle w:val="Paragraphedeliste"/>
              <w:numPr>
                <w:ilvl w:val="0"/>
                <w:numId w:val="3"/>
              </w:numPr>
              <w:ind w:left="176" w:hanging="142"/>
            </w:pPr>
            <w:r>
              <w:t xml:space="preserve">Interpréter les données épidémiologiques et les indicateurs démographiques en matière de santé de la reproduction. </w:t>
            </w:r>
          </w:p>
          <w:p w14:paraId="621DBAF4" w14:textId="021E4D6F" w:rsidR="00DF68D8" w:rsidRPr="00C35D55" w:rsidRDefault="00DF68D8">
            <w:pPr>
              <w:pStyle w:val="Paragraphedeliste"/>
              <w:numPr>
                <w:ilvl w:val="0"/>
                <w:numId w:val="3"/>
              </w:numPr>
              <w:ind w:left="176" w:hanging="142"/>
            </w:pPr>
            <w:r w:rsidRPr="00C35D55">
              <w:t xml:space="preserve">Analyser les </w:t>
            </w:r>
            <w:r>
              <w:t xml:space="preserve">principaux problèmes </w:t>
            </w:r>
            <w:r w:rsidRPr="00C35D55">
              <w:t xml:space="preserve"> liés à la SSR du point de vue des perspectives </w:t>
            </w:r>
            <w:r>
              <w:t>de genre et d’âge</w:t>
            </w:r>
            <w:r w:rsidRPr="00C35D55">
              <w:t>;</w:t>
            </w:r>
            <w:r>
              <w:t xml:space="preserve">. </w:t>
            </w:r>
          </w:p>
          <w:p w14:paraId="2999FC55" w14:textId="77777777" w:rsidR="00DF68D8" w:rsidRDefault="00DF68D8" w:rsidP="00650B4E">
            <w:pPr>
              <w:pStyle w:val="Paragraphedeliste"/>
              <w:numPr>
                <w:ilvl w:val="0"/>
                <w:numId w:val="3"/>
              </w:numPr>
              <w:ind w:left="176" w:hanging="142"/>
            </w:pPr>
            <w:r w:rsidRPr="00C35D55">
              <w:t>Identifier et discuter les principes de bonnes pratiques et les interventions dans des contextes spécifiques dans le domaine de la SDSR</w:t>
            </w:r>
            <w:r>
              <w:t> ;</w:t>
            </w:r>
          </w:p>
          <w:p w14:paraId="13720C9E" w14:textId="77777777" w:rsidR="00DF68D8" w:rsidRPr="00C35D55" w:rsidRDefault="00DF68D8" w:rsidP="000018D2">
            <w:pPr>
              <w:pStyle w:val="Paragraphedeliste"/>
              <w:ind w:left="176"/>
            </w:pPr>
          </w:p>
        </w:tc>
      </w:tr>
      <w:tr w:rsidR="00DF68D8" w:rsidRPr="00C35D55" w14:paraId="71F44DF3" w14:textId="77777777" w:rsidTr="00014987">
        <w:tc>
          <w:tcPr>
            <w:tcW w:w="4106" w:type="dxa"/>
          </w:tcPr>
          <w:p w14:paraId="7ECE308D" w14:textId="77777777" w:rsidR="00DF68D8" w:rsidRPr="00C35D55" w:rsidRDefault="00DF68D8">
            <w:r w:rsidRPr="00C35D55">
              <w:t>Aptitudes et compétences attendues</w:t>
            </w:r>
          </w:p>
        </w:tc>
        <w:tc>
          <w:tcPr>
            <w:tcW w:w="4961" w:type="dxa"/>
          </w:tcPr>
          <w:p w14:paraId="47299F23" w14:textId="77777777" w:rsidR="00DF68D8" w:rsidRPr="00C35D55" w:rsidRDefault="00DF68D8" w:rsidP="008F2A99">
            <w:r>
              <w:t>L</w:t>
            </w:r>
            <w:r w:rsidRPr="00C35D55">
              <w:t>es participants au module SR acquerront des connaissances, aptitudes et compétences nécessaires à :</w:t>
            </w:r>
          </w:p>
          <w:p w14:paraId="22CADCC1" w14:textId="77777777" w:rsidR="00DF68D8" w:rsidRPr="00C35D55" w:rsidRDefault="00DF68D8" w:rsidP="00583B15">
            <w:pPr>
              <w:pStyle w:val="Paragraphedeliste"/>
              <w:numPr>
                <w:ilvl w:val="0"/>
                <w:numId w:val="3"/>
              </w:numPr>
              <w:ind w:left="176" w:hanging="142"/>
            </w:pPr>
            <w:r w:rsidRPr="00C35D55">
              <w:t>la compréhension des problèmes de S</w:t>
            </w:r>
            <w:r>
              <w:t>D</w:t>
            </w:r>
            <w:r w:rsidRPr="00C35D55">
              <w:t xml:space="preserve">SR ; </w:t>
            </w:r>
          </w:p>
          <w:p w14:paraId="5B83A630" w14:textId="77777777" w:rsidR="00DF68D8" w:rsidRPr="00C35D55" w:rsidRDefault="00DF68D8" w:rsidP="00B004A7">
            <w:pPr>
              <w:pStyle w:val="Paragraphedeliste"/>
              <w:numPr>
                <w:ilvl w:val="0"/>
                <w:numId w:val="3"/>
              </w:numPr>
              <w:ind w:left="176" w:hanging="142"/>
            </w:pPr>
            <w:r w:rsidRPr="00C35D55">
              <w:t>l’analyse, l’interprétation et l’utilisation des données suivant l</w:t>
            </w:r>
            <w:r>
              <w:t xml:space="preserve">e </w:t>
            </w:r>
            <w:r w:rsidRPr="00C35D55">
              <w:t xml:space="preserve">contexte ; </w:t>
            </w:r>
          </w:p>
          <w:p w14:paraId="6F2F61CF" w14:textId="77777777" w:rsidR="00DF68D8" w:rsidRDefault="00DF68D8" w:rsidP="00EC3746">
            <w:pPr>
              <w:pStyle w:val="Paragraphedeliste"/>
              <w:numPr>
                <w:ilvl w:val="0"/>
                <w:numId w:val="3"/>
              </w:numPr>
              <w:ind w:left="176" w:hanging="142"/>
            </w:pPr>
            <w:r>
              <w:t xml:space="preserve"> la bonne mise en œuvre des activités de promotion de la santé sexuelle et reproductive ;</w:t>
            </w:r>
          </w:p>
          <w:p w14:paraId="74F9FC51" w14:textId="77777777" w:rsidR="00DF68D8" w:rsidRDefault="00DF68D8" w:rsidP="00B526FB">
            <w:pPr>
              <w:pStyle w:val="Paragraphedeliste"/>
              <w:numPr>
                <w:ilvl w:val="0"/>
                <w:numId w:val="3"/>
              </w:numPr>
              <w:ind w:left="176" w:hanging="142"/>
            </w:pPr>
            <w:r>
              <w:t>la communication des résultats de recherche en santé sexuelle et reproductive en fonction de l’auditoire ;</w:t>
            </w:r>
          </w:p>
          <w:p w14:paraId="648B639D" w14:textId="59E5BD10" w:rsidR="00DF68D8" w:rsidRPr="00C35D55" w:rsidRDefault="00DF68D8" w:rsidP="00B526FB">
            <w:pPr>
              <w:pStyle w:val="Paragraphedeliste"/>
              <w:numPr>
                <w:ilvl w:val="0"/>
                <w:numId w:val="3"/>
              </w:numPr>
              <w:ind w:left="176" w:hanging="142"/>
            </w:pPr>
            <w:r>
              <w:lastRenderedPageBreak/>
              <w:t>la poursuite de leur formation en SDSR en utilisant les ressources disponibles en la matière.</w:t>
            </w:r>
          </w:p>
        </w:tc>
      </w:tr>
      <w:tr w:rsidR="00DF68D8" w:rsidRPr="00C35D55" w14:paraId="12079814" w14:textId="77777777" w:rsidTr="00014987">
        <w:tc>
          <w:tcPr>
            <w:tcW w:w="4106" w:type="dxa"/>
          </w:tcPr>
          <w:p w14:paraId="445F48CF" w14:textId="77777777" w:rsidR="00DF68D8" w:rsidRPr="00C35D55" w:rsidRDefault="00DF68D8">
            <w:r w:rsidRPr="00C35D55">
              <w:lastRenderedPageBreak/>
              <w:t>Contenu</w:t>
            </w:r>
          </w:p>
        </w:tc>
        <w:tc>
          <w:tcPr>
            <w:tcW w:w="4961" w:type="dxa"/>
          </w:tcPr>
          <w:p w14:paraId="1678FC67" w14:textId="77777777" w:rsidR="00DF68D8" w:rsidRPr="00D04C10" w:rsidRDefault="00DF68D8" w:rsidP="00D04C10">
            <w:pPr>
              <w:rPr>
                <w:color w:val="000000" w:themeColor="text1"/>
              </w:rPr>
            </w:pPr>
            <w:r>
              <w:rPr>
                <w:color w:val="000000" w:themeColor="text1"/>
              </w:rPr>
              <w:t>Les sessions comprendront :</w:t>
            </w:r>
          </w:p>
          <w:p w14:paraId="1C74B941" w14:textId="77777777" w:rsidR="00DF68D8" w:rsidRPr="005D0E39" w:rsidRDefault="00DF68D8" w:rsidP="00BB2701">
            <w:pPr>
              <w:pStyle w:val="Paragraphedeliste"/>
              <w:numPr>
                <w:ilvl w:val="0"/>
                <w:numId w:val="3"/>
              </w:numPr>
              <w:ind w:left="176" w:hanging="142"/>
              <w:rPr>
                <w:color w:val="000000" w:themeColor="text1"/>
              </w:rPr>
            </w:pPr>
            <w:r w:rsidRPr="005D0E39">
              <w:rPr>
                <w:color w:val="000000" w:themeColor="text1"/>
              </w:rPr>
              <w:t xml:space="preserve">Les droits en santé reproductive </w:t>
            </w:r>
          </w:p>
          <w:p w14:paraId="54E91D04" w14:textId="0E0B1266" w:rsidR="004378FA" w:rsidRPr="00014987" w:rsidRDefault="004378FA" w:rsidP="00BB2701">
            <w:pPr>
              <w:pStyle w:val="Paragraphedeliste"/>
              <w:numPr>
                <w:ilvl w:val="0"/>
                <w:numId w:val="3"/>
              </w:numPr>
              <w:ind w:left="176" w:hanging="142"/>
              <w:rPr>
                <w:color w:val="000000" w:themeColor="text1"/>
              </w:rPr>
            </w:pPr>
            <w:r w:rsidRPr="005D0E39">
              <w:rPr>
                <w:color w:val="000000" w:themeColor="text1"/>
              </w:rPr>
              <w:t>Le genre et SDSR</w:t>
            </w:r>
          </w:p>
          <w:p w14:paraId="6344F9E1" w14:textId="77777777" w:rsidR="00345ECA" w:rsidRPr="00014987" w:rsidRDefault="00007107" w:rsidP="00345ECA">
            <w:pPr>
              <w:pStyle w:val="Paragraphedeliste"/>
              <w:numPr>
                <w:ilvl w:val="0"/>
                <w:numId w:val="3"/>
              </w:numPr>
              <w:ind w:left="176" w:hanging="142"/>
              <w:rPr>
                <w:color w:val="000000" w:themeColor="text1"/>
              </w:rPr>
            </w:pPr>
            <w:r w:rsidRPr="00014987">
              <w:rPr>
                <w:color w:val="000000" w:themeColor="text1"/>
              </w:rPr>
              <w:t>La violence basée sur le genre</w:t>
            </w:r>
            <w:r w:rsidR="00345ECA" w:rsidRPr="00014987">
              <w:rPr>
                <w:color w:val="000000" w:themeColor="text1"/>
              </w:rPr>
              <w:t xml:space="preserve"> </w:t>
            </w:r>
          </w:p>
          <w:p w14:paraId="721AF5D0" w14:textId="68DFAEFB" w:rsidR="00007107" w:rsidRPr="005D0E39" w:rsidRDefault="00345ECA">
            <w:pPr>
              <w:pStyle w:val="Paragraphedeliste"/>
              <w:numPr>
                <w:ilvl w:val="0"/>
                <w:numId w:val="3"/>
              </w:numPr>
              <w:ind w:left="176" w:hanging="142"/>
              <w:rPr>
                <w:color w:val="000000" w:themeColor="text1"/>
              </w:rPr>
            </w:pPr>
            <w:r w:rsidRPr="00014987">
              <w:rPr>
                <w:color w:val="000000" w:themeColor="text1"/>
              </w:rPr>
              <w:t>La programmation de transformation de genre</w:t>
            </w:r>
          </w:p>
          <w:p w14:paraId="65604C27" w14:textId="77777777" w:rsidR="00345ECA" w:rsidRPr="00014987" w:rsidRDefault="00345ECA" w:rsidP="00345ECA">
            <w:pPr>
              <w:pStyle w:val="Paragraphedeliste"/>
              <w:numPr>
                <w:ilvl w:val="0"/>
                <w:numId w:val="3"/>
              </w:numPr>
              <w:ind w:left="176" w:hanging="142"/>
              <w:rPr>
                <w:color w:val="000000" w:themeColor="text1"/>
              </w:rPr>
            </w:pPr>
            <w:r w:rsidRPr="00014987">
              <w:rPr>
                <w:color w:val="000000" w:themeColor="text1"/>
              </w:rPr>
              <w:t>La sexualité</w:t>
            </w:r>
          </w:p>
          <w:p w14:paraId="7D1B4412" w14:textId="30C75EB5" w:rsidR="00345ECA" w:rsidRPr="00014987" w:rsidRDefault="00345ECA" w:rsidP="00BB2701">
            <w:pPr>
              <w:pStyle w:val="Paragraphedeliste"/>
              <w:numPr>
                <w:ilvl w:val="0"/>
                <w:numId w:val="3"/>
              </w:numPr>
              <w:ind w:left="176" w:hanging="142"/>
              <w:rPr>
                <w:color w:val="000000" w:themeColor="text1"/>
              </w:rPr>
            </w:pPr>
            <w:r w:rsidRPr="00014987">
              <w:rPr>
                <w:color w:val="000000" w:themeColor="text1"/>
              </w:rPr>
              <w:t xml:space="preserve">La santé sexuelle des adolescents et des jeunes (MGF, mariage précoce, grossesse précoce et involontaire) </w:t>
            </w:r>
          </w:p>
          <w:p w14:paraId="10AEDD47" w14:textId="77777777" w:rsidR="00345ECA" w:rsidRPr="00014987" w:rsidRDefault="00345ECA" w:rsidP="00345ECA">
            <w:pPr>
              <w:pStyle w:val="Paragraphedeliste"/>
              <w:numPr>
                <w:ilvl w:val="0"/>
                <w:numId w:val="3"/>
              </w:numPr>
              <w:ind w:left="176" w:hanging="142"/>
              <w:rPr>
                <w:color w:val="000000" w:themeColor="text1"/>
              </w:rPr>
            </w:pPr>
            <w:r w:rsidRPr="00014987">
              <w:rPr>
                <w:color w:val="000000" w:themeColor="text1"/>
              </w:rPr>
              <w:t>L’éducation sexuelle complète et la formation professionnelle des jeunes non scolaires</w:t>
            </w:r>
          </w:p>
          <w:p w14:paraId="28657CE5" w14:textId="1F6B9841" w:rsidR="00345ECA" w:rsidRPr="00014987" w:rsidRDefault="00345ECA" w:rsidP="00345ECA">
            <w:pPr>
              <w:pStyle w:val="Paragraphedeliste"/>
              <w:numPr>
                <w:ilvl w:val="0"/>
                <w:numId w:val="3"/>
              </w:numPr>
              <w:ind w:left="176" w:hanging="142"/>
              <w:rPr>
                <w:color w:val="000000" w:themeColor="text1"/>
              </w:rPr>
            </w:pPr>
            <w:r w:rsidRPr="00014987">
              <w:rPr>
                <w:color w:val="000000" w:themeColor="text1"/>
              </w:rPr>
              <w:t>Les groupes marginalisés (handicap, homosexualité)</w:t>
            </w:r>
          </w:p>
          <w:p w14:paraId="329E50F3" w14:textId="77777777" w:rsidR="00345ECA" w:rsidRPr="00014987" w:rsidRDefault="00345ECA" w:rsidP="00345ECA">
            <w:pPr>
              <w:pStyle w:val="Paragraphedeliste"/>
              <w:numPr>
                <w:ilvl w:val="0"/>
                <w:numId w:val="3"/>
              </w:numPr>
              <w:ind w:left="176" w:hanging="142"/>
              <w:rPr>
                <w:color w:val="000000" w:themeColor="text1"/>
              </w:rPr>
            </w:pPr>
            <w:r w:rsidRPr="00014987">
              <w:rPr>
                <w:color w:val="000000" w:themeColor="text1"/>
              </w:rPr>
              <w:t xml:space="preserve">La planification familiale </w:t>
            </w:r>
          </w:p>
          <w:p w14:paraId="176E5262" w14:textId="77777777" w:rsidR="00345ECA" w:rsidRPr="00014987" w:rsidRDefault="00345ECA" w:rsidP="00345ECA">
            <w:pPr>
              <w:pStyle w:val="Paragraphedeliste"/>
              <w:numPr>
                <w:ilvl w:val="0"/>
                <w:numId w:val="3"/>
              </w:numPr>
              <w:ind w:left="176" w:hanging="142"/>
              <w:rPr>
                <w:color w:val="000000" w:themeColor="text1"/>
              </w:rPr>
            </w:pPr>
            <w:r w:rsidRPr="00014987">
              <w:rPr>
                <w:color w:val="000000" w:themeColor="text1"/>
              </w:rPr>
              <w:t xml:space="preserve">La gestion du Post abortum </w:t>
            </w:r>
          </w:p>
          <w:p w14:paraId="6CF58A84" w14:textId="77777777" w:rsidR="00345ECA" w:rsidRPr="00014987" w:rsidRDefault="00345ECA" w:rsidP="00345ECA">
            <w:pPr>
              <w:pStyle w:val="Paragraphedeliste"/>
              <w:numPr>
                <w:ilvl w:val="0"/>
                <w:numId w:val="3"/>
              </w:numPr>
              <w:ind w:left="176" w:hanging="142"/>
              <w:rPr>
                <w:color w:val="000000" w:themeColor="text1"/>
              </w:rPr>
            </w:pPr>
            <w:r w:rsidRPr="00014987">
              <w:rPr>
                <w:color w:val="000000" w:themeColor="text1"/>
              </w:rPr>
              <w:t>Les IST/VIH</w:t>
            </w:r>
            <w:bookmarkStart w:id="0" w:name="_GoBack"/>
            <w:bookmarkEnd w:id="0"/>
          </w:p>
          <w:p w14:paraId="44F3B201" w14:textId="24AB45C8" w:rsidR="00DF68D8" w:rsidRPr="005D0E39" w:rsidRDefault="00DF68D8" w:rsidP="00345ECA">
            <w:pPr>
              <w:pStyle w:val="Paragraphedeliste"/>
              <w:numPr>
                <w:ilvl w:val="0"/>
                <w:numId w:val="3"/>
              </w:numPr>
              <w:ind w:left="176" w:hanging="142"/>
              <w:rPr>
                <w:color w:val="000000" w:themeColor="text1"/>
              </w:rPr>
            </w:pPr>
            <w:r w:rsidRPr="005D0E39">
              <w:rPr>
                <w:color w:val="000000" w:themeColor="text1"/>
              </w:rPr>
              <w:t xml:space="preserve">La </w:t>
            </w:r>
            <w:r w:rsidR="00CD042D" w:rsidRPr="005D0E39">
              <w:rPr>
                <w:color w:val="000000" w:themeColor="text1"/>
              </w:rPr>
              <w:t>santé maternelle</w:t>
            </w:r>
          </w:p>
          <w:p w14:paraId="1C77F55F" w14:textId="4DFA3BF8" w:rsidR="00DF68D8" w:rsidRPr="00014987" w:rsidRDefault="00CD042D">
            <w:pPr>
              <w:pStyle w:val="Paragraphedeliste"/>
              <w:numPr>
                <w:ilvl w:val="0"/>
                <w:numId w:val="3"/>
              </w:numPr>
              <w:ind w:left="176" w:hanging="142"/>
              <w:rPr>
                <w:color w:val="000000" w:themeColor="text1"/>
              </w:rPr>
            </w:pPr>
            <w:r w:rsidRPr="005D0E39">
              <w:rPr>
                <w:color w:val="000000" w:themeColor="text1"/>
              </w:rPr>
              <w:t>La santé néonatale</w:t>
            </w:r>
          </w:p>
          <w:p w14:paraId="410CF123" w14:textId="77777777" w:rsidR="00DF68D8" w:rsidRPr="00014987" w:rsidRDefault="00DF68D8" w:rsidP="00BB2701">
            <w:pPr>
              <w:pStyle w:val="Paragraphedeliste"/>
              <w:numPr>
                <w:ilvl w:val="0"/>
                <w:numId w:val="3"/>
              </w:numPr>
              <w:ind w:left="176" w:hanging="142"/>
              <w:rPr>
                <w:color w:val="000000" w:themeColor="text1"/>
              </w:rPr>
            </w:pPr>
            <w:r w:rsidRPr="00014987">
              <w:rPr>
                <w:color w:val="000000" w:themeColor="text1"/>
              </w:rPr>
              <w:t>Les pathologies génitales et les dysfonctionnements sexuels (homme et femme)</w:t>
            </w:r>
          </w:p>
          <w:p w14:paraId="780F4732" w14:textId="77777777" w:rsidR="00345ECA" w:rsidRPr="00014987" w:rsidRDefault="00345ECA" w:rsidP="00345ECA">
            <w:pPr>
              <w:pStyle w:val="Paragraphedeliste"/>
              <w:numPr>
                <w:ilvl w:val="0"/>
                <w:numId w:val="3"/>
              </w:numPr>
              <w:ind w:left="176" w:hanging="142"/>
              <w:rPr>
                <w:color w:val="000000" w:themeColor="text1"/>
              </w:rPr>
            </w:pPr>
            <w:r w:rsidRPr="00014987">
              <w:rPr>
                <w:color w:val="000000" w:themeColor="text1"/>
              </w:rPr>
              <w:t>Les notions de qualité de services et de soins en SR</w:t>
            </w:r>
          </w:p>
          <w:p w14:paraId="1138604E" w14:textId="62B8A4CF" w:rsidR="00DF68D8" w:rsidRPr="00C35D55" w:rsidRDefault="00DF68D8" w:rsidP="00BB2701">
            <w:pPr>
              <w:pStyle w:val="Paragraphedeliste"/>
              <w:numPr>
                <w:ilvl w:val="0"/>
                <w:numId w:val="3"/>
              </w:numPr>
              <w:ind w:left="176" w:hanging="142"/>
              <w:rPr>
                <w:rFonts w:eastAsia="Calibri" w:cs="Times New Roman"/>
                <w:color w:val="0070C0"/>
                <w:sz w:val="20"/>
                <w:szCs w:val="20"/>
              </w:rPr>
            </w:pPr>
          </w:p>
        </w:tc>
      </w:tr>
      <w:tr w:rsidR="00DF68D8" w:rsidRPr="00C35D55" w14:paraId="4542A804" w14:textId="77777777" w:rsidTr="00014987">
        <w:tc>
          <w:tcPr>
            <w:tcW w:w="4106" w:type="dxa"/>
          </w:tcPr>
          <w:p w14:paraId="4861EEA3" w14:textId="77777777" w:rsidR="00DF68D8" w:rsidRPr="00C35D55" w:rsidRDefault="00DF68D8">
            <w:r w:rsidRPr="00C35D55">
              <w:t>Matériaux/ressources</w:t>
            </w:r>
          </w:p>
        </w:tc>
        <w:tc>
          <w:tcPr>
            <w:tcW w:w="4961" w:type="dxa"/>
          </w:tcPr>
          <w:p w14:paraId="700CC5F8" w14:textId="77777777" w:rsidR="00DF68D8" w:rsidRDefault="00DF68D8" w:rsidP="001726C2">
            <w:pPr>
              <w:pStyle w:val="Paragraphedeliste"/>
              <w:numPr>
                <w:ilvl w:val="0"/>
                <w:numId w:val="3"/>
              </w:numPr>
              <w:ind w:left="176" w:hanging="142"/>
              <w:rPr>
                <w:color w:val="000000" w:themeColor="text1"/>
              </w:rPr>
            </w:pPr>
            <w:r>
              <w:rPr>
                <w:color w:val="000000" w:themeColor="text1"/>
              </w:rPr>
              <w:t>Supports de session SR,</w:t>
            </w:r>
          </w:p>
          <w:p w14:paraId="3513A45E" w14:textId="77777777" w:rsidR="00DF68D8" w:rsidRPr="00C35D55" w:rsidRDefault="00DF68D8" w:rsidP="001726C2">
            <w:pPr>
              <w:pStyle w:val="Paragraphedeliste"/>
              <w:numPr>
                <w:ilvl w:val="0"/>
                <w:numId w:val="3"/>
              </w:numPr>
              <w:ind w:left="176" w:hanging="142"/>
              <w:rPr>
                <w:color w:val="000000" w:themeColor="text1"/>
              </w:rPr>
            </w:pPr>
            <w:r w:rsidRPr="00C35D55">
              <w:rPr>
                <w:color w:val="000000" w:themeColor="text1"/>
              </w:rPr>
              <w:t>Articles et livres</w:t>
            </w:r>
            <w:r>
              <w:rPr>
                <w:color w:val="000000" w:themeColor="text1"/>
              </w:rPr>
              <w:t>,</w:t>
            </w:r>
            <w:r w:rsidRPr="00C35D55">
              <w:rPr>
                <w:color w:val="000000" w:themeColor="text1"/>
              </w:rPr>
              <w:t xml:space="preserve"> </w:t>
            </w:r>
          </w:p>
          <w:p w14:paraId="4D958BEE" w14:textId="77777777" w:rsidR="00DF68D8" w:rsidRPr="00C35D55" w:rsidRDefault="00DF68D8" w:rsidP="001726C2">
            <w:pPr>
              <w:pStyle w:val="Paragraphedeliste"/>
              <w:numPr>
                <w:ilvl w:val="0"/>
                <w:numId w:val="3"/>
              </w:numPr>
              <w:ind w:left="176" w:hanging="142"/>
            </w:pPr>
            <w:r w:rsidRPr="00C35D55">
              <w:rPr>
                <w:color w:val="000000" w:themeColor="text1"/>
              </w:rPr>
              <w:t>Multimédia</w:t>
            </w:r>
            <w:r>
              <w:rPr>
                <w:color w:val="000000" w:themeColor="text1"/>
              </w:rPr>
              <w:t>,</w:t>
            </w:r>
            <w:r w:rsidRPr="00C35D55">
              <w:rPr>
                <w:color w:val="000000" w:themeColor="text1"/>
              </w:rPr>
              <w:t xml:space="preserve"> </w:t>
            </w:r>
          </w:p>
          <w:p w14:paraId="7D2604DF" w14:textId="77777777" w:rsidR="00DF68D8" w:rsidRPr="00A65CFA" w:rsidRDefault="00DF68D8" w:rsidP="001726C2">
            <w:pPr>
              <w:pStyle w:val="Paragraphedeliste"/>
              <w:numPr>
                <w:ilvl w:val="0"/>
                <w:numId w:val="3"/>
              </w:numPr>
              <w:ind w:left="176" w:hanging="142"/>
            </w:pPr>
            <w:r w:rsidRPr="00C35D55">
              <w:rPr>
                <w:color w:val="000000" w:themeColor="text1"/>
              </w:rPr>
              <w:t>Littérature grise</w:t>
            </w:r>
            <w:r>
              <w:rPr>
                <w:color w:val="000000" w:themeColor="text1"/>
              </w:rPr>
              <w:t>,</w:t>
            </w:r>
          </w:p>
          <w:p w14:paraId="3695CFEE" w14:textId="77777777" w:rsidR="00DF68D8" w:rsidRPr="00C35D55" w:rsidRDefault="00DF68D8" w:rsidP="001726C2">
            <w:pPr>
              <w:pStyle w:val="Paragraphedeliste"/>
              <w:numPr>
                <w:ilvl w:val="0"/>
                <w:numId w:val="3"/>
              </w:numPr>
              <w:ind w:left="176" w:hanging="142"/>
            </w:pPr>
            <w:r w:rsidRPr="00C35D55">
              <w:rPr>
                <w:color w:val="000000" w:themeColor="text1"/>
              </w:rPr>
              <w:t xml:space="preserve">Documents </w:t>
            </w:r>
            <w:r>
              <w:rPr>
                <w:color w:val="000000" w:themeColor="text1"/>
              </w:rPr>
              <w:t>techniques et législatifs en S</w:t>
            </w:r>
            <w:r w:rsidRPr="00C35D55">
              <w:rPr>
                <w:color w:val="000000" w:themeColor="text1"/>
              </w:rPr>
              <w:t>R</w:t>
            </w:r>
            <w:r>
              <w:rPr>
                <w:color w:val="000000" w:themeColor="text1"/>
              </w:rPr>
              <w:t>.</w:t>
            </w:r>
          </w:p>
        </w:tc>
      </w:tr>
      <w:tr w:rsidR="00DF68D8" w:rsidRPr="00C35D55" w14:paraId="4374312D" w14:textId="77777777" w:rsidTr="00014987">
        <w:tc>
          <w:tcPr>
            <w:tcW w:w="4106" w:type="dxa"/>
          </w:tcPr>
          <w:p w14:paraId="293469E9" w14:textId="77777777" w:rsidR="00DF68D8" w:rsidRPr="00C35D55" w:rsidRDefault="00DF68D8">
            <w:r w:rsidRPr="00C35D55">
              <w:t>Méthode d’apprentissage</w:t>
            </w:r>
          </w:p>
        </w:tc>
        <w:tc>
          <w:tcPr>
            <w:tcW w:w="4961" w:type="dxa"/>
          </w:tcPr>
          <w:p w14:paraId="5ACFDBEC" w14:textId="77777777" w:rsidR="00DF68D8" w:rsidRPr="002A7736" w:rsidRDefault="00DF68D8" w:rsidP="002A7736">
            <w:pPr>
              <w:pStyle w:val="Paragraphedeliste"/>
              <w:numPr>
                <w:ilvl w:val="0"/>
                <w:numId w:val="3"/>
              </w:numPr>
              <w:ind w:left="176" w:hanging="142"/>
              <w:rPr>
                <w:color w:val="000000" w:themeColor="text1"/>
              </w:rPr>
            </w:pPr>
            <w:r>
              <w:rPr>
                <w:color w:val="000000" w:themeColor="text1"/>
              </w:rPr>
              <w:t>Exposés en face à face</w:t>
            </w:r>
            <w:r w:rsidRPr="002A7736">
              <w:rPr>
                <w:color w:val="000000" w:themeColor="text1"/>
              </w:rPr>
              <w:t xml:space="preserve">, </w:t>
            </w:r>
          </w:p>
          <w:p w14:paraId="7334C320" w14:textId="77777777" w:rsidR="00DF68D8" w:rsidRPr="00A16D13" w:rsidRDefault="00DF68D8" w:rsidP="002A7736">
            <w:pPr>
              <w:pStyle w:val="Paragraphedeliste"/>
              <w:numPr>
                <w:ilvl w:val="0"/>
                <w:numId w:val="3"/>
              </w:numPr>
              <w:ind w:left="176" w:hanging="142"/>
            </w:pPr>
            <w:r w:rsidRPr="002A7736">
              <w:rPr>
                <w:color w:val="000000" w:themeColor="text1"/>
              </w:rPr>
              <w:t>A</w:t>
            </w:r>
            <w:r>
              <w:rPr>
                <w:color w:val="000000" w:themeColor="text1"/>
              </w:rPr>
              <w:t xml:space="preserve">uto-apprentissage, </w:t>
            </w:r>
          </w:p>
          <w:p w14:paraId="4A2E8D06" w14:textId="77777777" w:rsidR="00DF68D8" w:rsidRPr="00A16D13" w:rsidRDefault="00DF68D8" w:rsidP="00A16D13">
            <w:pPr>
              <w:pStyle w:val="Paragraphedeliste"/>
              <w:numPr>
                <w:ilvl w:val="0"/>
                <w:numId w:val="3"/>
              </w:numPr>
              <w:ind w:left="176" w:hanging="142"/>
            </w:pPr>
            <w:r>
              <w:rPr>
                <w:color w:val="000000" w:themeColor="text1"/>
              </w:rPr>
              <w:t>T</w:t>
            </w:r>
            <w:r w:rsidRPr="002A7736">
              <w:rPr>
                <w:color w:val="000000" w:themeColor="text1"/>
              </w:rPr>
              <w:t>ravaux en groupe</w:t>
            </w:r>
            <w:r>
              <w:rPr>
                <w:color w:val="000000" w:themeColor="text1"/>
              </w:rPr>
              <w:t xml:space="preserve"> et </w:t>
            </w:r>
            <w:r w:rsidRPr="002A7736">
              <w:rPr>
                <w:color w:val="000000" w:themeColor="text1"/>
              </w:rPr>
              <w:t xml:space="preserve">présentation en plénière, </w:t>
            </w:r>
          </w:p>
          <w:p w14:paraId="76E4F651" w14:textId="77777777" w:rsidR="00DF68D8" w:rsidRPr="005C1F8D" w:rsidRDefault="00DF68D8" w:rsidP="00A16D13">
            <w:pPr>
              <w:pStyle w:val="Paragraphedeliste"/>
              <w:numPr>
                <w:ilvl w:val="0"/>
                <w:numId w:val="3"/>
              </w:numPr>
              <w:ind w:left="176" w:hanging="142"/>
            </w:pPr>
            <w:r>
              <w:rPr>
                <w:color w:val="000000" w:themeColor="text1"/>
              </w:rPr>
              <w:t xml:space="preserve">Multimédia, </w:t>
            </w:r>
          </w:p>
          <w:p w14:paraId="48CA8B25" w14:textId="77777777" w:rsidR="00DF68D8" w:rsidRPr="00A16D13" w:rsidRDefault="00DF68D8" w:rsidP="00A16D13">
            <w:pPr>
              <w:pStyle w:val="Paragraphedeliste"/>
              <w:numPr>
                <w:ilvl w:val="0"/>
                <w:numId w:val="3"/>
              </w:numPr>
              <w:ind w:left="176" w:hanging="142"/>
            </w:pPr>
            <w:r>
              <w:rPr>
                <w:color w:val="000000" w:themeColor="text1"/>
              </w:rPr>
              <w:t>Brainstorming,</w:t>
            </w:r>
          </w:p>
          <w:p w14:paraId="1D48DEE3" w14:textId="77777777" w:rsidR="00DF68D8" w:rsidRPr="00A16D13" w:rsidRDefault="00DF68D8" w:rsidP="00A16D13">
            <w:pPr>
              <w:pStyle w:val="Paragraphedeliste"/>
              <w:numPr>
                <w:ilvl w:val="0"/>
                <w:numId w:val="3"/>
              </w:numPr>
              <w:ind w:left="176" w:hanging="142"/>
            </w:pPr>
            <w:r>
              <w:rPr>
                <w:color w:val="000000" w:themeColor="text1"/>
              </w:rPr>
              <w:t>T</w:t>
            </w:r>
            <w:r w:rsidRPr="002A7736">
              <w:rPr>
                <w:color w:val="000000" w:themeColor="text1"/>
              </w:rPr>
              <w:t>ravaux pratiques</w:t>
            </w:r>
            <w:r>
              <w:rPr>
                <w:color w:val="000000" w:themeColor="text1"/>
              </w:rPr>
              <w:t>,</w:t>
            </w:r>
          </w:p>
          <w:p w14:paraId="0F9B7925" w14:textId="77777777" w:rsidR="00DF68D8" w:rsidRPr="00C35D55" w:rsidRDefault="00DF68D8" w:rsidP="00A16D13">
            <w:pPr>
              <w:pStyle w:val="Paragraphedeliste"/>
              <w:numPr>
                <w:ilvl w:val="0"/>
                <w:numId w:val="3"/>
              </w:numPr>
              <w:ind w:left="176" w:hanging="142"/>
            </w:pPr>
            <w:r>
              <w:rPr>
                <w:color w:val="000000" w:themeColor="text1"/>
              </w:rPr>
              <w:t>Visites de terrain.</w:t>
            </w:r>
          </w:p>
        </w:tc>
      </w:tr>
      <w:tr w:rsidR="00DF68D8" w:rsidRPr="00C35D55" w14:paraId="708F7E07" w14:textId="77777777" w:rsidTr="00014987">
        <w:tc>
          <w:tcPr>
            <w:tcW w:w="4106" w:type="dxa"/>
          </w:tcPr>
          <w:p w14:paraId="5B8F5633" w14:textId="77777777" w:rsidR="00DF68D8" w:rsidRPr="00C35D55" w:rsidRDefault="00DF68D8">
            <w:r>
              <w:t>Procédure</w:t>
            </w:r>
            <w:r w:rsidRPr="00C35D55">
              <w:t xml:space="preserve"> d’évaluation</w:t>
            </w:r>
          </w:p>
        </w:tc>
        <w:tc>
          <w:tcPr>
            <w:tcW w:w="4961" w:type="dxa"/>
          </w:tcPr>
          <w:p w14:paraId="24EACDFA" w14:textId="77777777" w:rsidR="00DF68D8" w:rsidRDefault="00DF68D8">
            <w:r>
              <w:t>L’évaluation des apprenants comprend :</w:t>
            </w:r>
          </w:p>
          <w:p w14:paraId="5EECB56D" w14:textId="77777777" w:rsidR="00DF68D8" w:rsidRPr="004322DF" w:rsidRDefault="00DF68D8" w:rsidP="004322DF">
            <w:pPr>
              <w:pStyle w:val="Paragraphedeliste"/>
              <w:numPr>
                <w:ilvl w:val="0"/>
                <w:numId w:val="3"/>
              </w:numPr>
              <w:ind w:left="176" w:hanging="142"/>
              <w:rPr>
                <w:color w:val="000000" w:themeColor="text1"/>
              </w:rPr>
            </w:pPr>
            <w:r>
              <w:rPr>
                <w:color w:val="000000" w:themeColor="text1"/>
              </w:rPr>
              <w:t xml:space="preserve">La </w:t>
            </w:r>
            <w:r w:rsidRPr="004322DF">
              <w:rPr>
                <w:color w:val="000000" w:themeColor="text1"/>
              </w:rPr>
              <w:t>particip</w:t>
            </w:r>
            <w:r>
              <w:rPr>
                <w:color w:val="000000" w:themeColor="text1"/>
              </w:rPr>
              <w:t xml:space="preserve">ation aux sessions en présentiel qui équivaut à 25% des points (le taux requis est de </w:t>
            </w:r>
            <w:r w:rsidRPr="004322DF">
              <w:rPr>
                <w:color w:val="000000" w:themeColor="text1"/>
              </w:rPr>
              <w:t xml:space="preserve">90% </w:t>
            </w:r>
            <w:r>
              <w:rPr>
                <w:color w:val="000000" w:themeColor="text1"/>
              </w:rPr>
              <w:t>minimum)</w:t>
            </w:r>
          </w:p>
          <w:p w14:paraId="39F90CFC" w14:textId="77777777" w:rsidR="00DF68D8" w:rsidRPr="004322DF" w:rsidRDefault="00DF68D8" w:rsidP="004322DF">
            <w:pPr>
              <w:pStyle w:val="Paragraphedeliste"/>
              <w:numPr>
                <w:ilvl w:val="0"/>
                <w:numId w:val="3"/>
              </w:numPr>
              <w:ind w:left="176" w:hanging="142"/>
            </w:pPr>
            <w:r w:rsidRPr="004322DF">
              <w:rPr>
                <w:color w:val="000000" w:themeColor="text1"/>
              </w:rPr>
              <w:t xml:space="preserve"> </w:t>
            </w:r>
            <w:r>
              <w:rPr>
                <w:color w:val="000000" w:themeColor="text1"/>
              </w:rPr>
              <w:t>Les travaux de groupe (25%),</w:t>
            </w:r>
          </w:p>
          <w:p w14:paraId="2273F917" w14:textId="77777777" w:rsidR="00DF68D8" w:rsidRPr="00C35D55" w:rsidRDefault="00DF68D8" w:rsidP="004322DF">
            <w:pPr>
              <w:pStyle w:val="Paragraphedeliste"/>
              <w:numPr>
                <w:ilvl w:val="0"/>
                <w:numId w:val="3"/>
              </w:numPr>
              <w:ind w:left="176" w:hanging="142"/>
            </w:pPr>
            <w:r>
              <w:rPr>
                <w:color w:val="000000" w:themeColor="text1"/>
              </w:rPr>
              <w:t>L’examen (</w:t>
            </w:r>
            <w:r w:rsidRPr="004322DF">
              <w:rPr>
                <w:color w:val="000000" w:themeColor="text1"/>
              </w:rPr>
              <w:t xml:space="preserve">à </w:t>
            </w:r>
            <w:r>
              <w:rPr>
                <w:color w:val="000000" w:themeColor="text1"/>
              </w:rPr>
              <w:t>documents permis)</w:t>
            </w:r>
            <w:r w:rsidRPr="004322DF">
              <w:rPr>
                <w:color w:val="000000" w:themeColor="text1"/>
              </w:rPr>
              <w:t xml:space="preserve"> à la fin du module</w:t>
            </w:r>
            <w:r>
              <w:rPr>
                <w:color w:val="000000" w:themeColor="text1"/>
              </w:rPr>
              <w:t xml:space="preserve"> qui compte pour 50% des points.</w:t>
            </w:r>
          </w:p>
        </w:tc>
      </w:tr>
      <w:tr w:rsidR="00DF68D8" w:rsidRPr="00C35D55" w14:paraId="0EC2BA6A" w14:textId="77777777" w:rsidTr="00014987">
        <w:tc>
          <w:tcPr>
            <w:tcW w:w="4106" w:type="dxa"/>
          </w:tcPr>
          <w:p w14:paraId="4BE2D272" w14:textId="60977A14" w:rsidR="00DF68D8" w:rsidRPr="00C35D55" w:rsidRDefault="00DF68D8">
            <w:r w:rsidRPr="00C35D55">
              <w:t>Lien avec les autres modules du MSP</w:t>
            </w:r>
          </w:p>
        </w:tc>
        <w:tc>
          <w:tcPr>
            <w:tcW w:w="4961" w:type="dxa"/>
          </w:tcPr>
          <w:p w14:paraId="57B03BA6" w14:textId="77777777" w:rsidR="00DF68D8" w:rsidRPr="00C35D55" w:rsidRDefault="00DF68D8" w:rsidP="008426FF">
            <w:r w:rsidRPr="00C35D55">
              <w:t xml:space="preserve">Ce module s’intègre aux autres modules du Master de Santé publique en tant opportunité d’élargir les horizons sur les questions de santé sexuelle et reproductive. </w:t>
            </w:r>
          </w:p>
        </w:tc>
      </w:tr>
      <w:tr w:rsidR="00DF68D8" w14:paraId="58858C5A" w14:textId="77777777" w:rsidTr="00014987">
        <w:tc>
          <w:tcPr>
            <w:tcW w:w="4106" w:type="dxa"/>
          </w:tcPr>
          <w:p w14:paraId="5F76285B" w14:textId="2E334C26" w:rsidR="00DF68D8" w:rsidRPr="00C35D55" w:rsidRDefault="00DF68D8">
            <w:r w:rsidRPr="00C35D55">
              <w:t>C</w:t>
            </w:r>
            <w:r w:rsidR="00345ECA">
              <w:t>ritères d’admission</w:t>
            </w:r>
          </w:p>
        </w:tc>
        <w:tc>
          <w:tcPr>
            <w:tcW w:w="4961" w:type="dxa"/>
          </w:tcPr>
          <w:p w14:paraId="52F71F92" w14:textId="77777777" w:rsidR="00DF68D8" w:rsidRDefault="00DF68D8" w:rsidP="00314C40">
            <w:pPr>
              <w:pStyle w:val="Paragraphedeliste"/>
              <w:numPr>
                <w:ilvl w:val="0"/>
                <w:numId w:val="3"/>
              </w:numPr>
              <w:ind w:left="176" w:hanging="142"/>
              <w:rPr>
                <w:color w:val="000000" w:themeColor="text1"/>
              </w:rPr>
            </w:pPr>
            <w:r w:rsidRPr="00314C40">
              <w:rPr>
                <w:color w:val="000000" w:themeColor="text1"/>
              </w:rPr>
              <w:t xml:space="preserve">Avoir un diplôme en médecine, pharmacie ou une licence en sciences de la santé ou toute autre discipline connexe </w:t>
            </w:r>
          </w:p>
          <w:p w14:paraId="6D830F2F" w14:textId="77777777" w:rsidR="00DF68D8" w:rsidRPr="00314C40" w:rsidRDefault="00DF68D8" w:rsidP="00314C40">
            <w:pPr>
              <w:pStyle w:val="Paragraphedeliste"/>
              <w:numPr>
                <w:ilvl w:val="0"/>
                <w:numId w:val="3"/>
              </w:numPr>
              <w:ind w:left="176" w:hanging="142"/>
              <w:rPr>
                <w:color w:val="000000" w:themeColor="text1"/>
              </w:rPr>
            </w:pPr>
            <w:r>
              <w:rPr>
                <w:color w:val="000000" w:themeColor="text1"/>
              </w:rPr>
              <w:lastRenderedPageBreak/>
              <w:t>Avoir au minimum 3 ans d’expérience professionnelle</w:t>
            </w:r>
          </w:p>
        </w:tc>
      </w:tr>
    </w:tbl>
    <w:p w14:paraId="166637B5" w14:textId="77777777" w:rsidR="00C86476" w:rsidRDefault="00C86476"/>
    <w:sectPr w:rsidR="00C86476" w:rsidSect="002E3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833"/>
    <w:multiLevelType w:val="hybridMultilevel"/>
    <w:tmpl w:val="5B2C174E"/>
    <w:lvl w:ilvl="0" w:tplc="528C2E2A">
      <w:start w:val="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C4C3E"/>
    <w:multiLevelType w:val="hybridMultilevel"/>
    <w:tmpl w:val="37589C52"/>
    <w:lvl w:ilvl="0" w:tplc="7592D3C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0227B7"/>
    <w:multiLevelType w:val="hybridMultilevel"/>
    <w:tmpl w:val="1F5C68B2"/>
    <w:lvl w:ilvl="0" w:tplc="CDFE1B8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8259F3"/>
    <w:multiLevelType w:val="multilevel"/>
    <w:tmpl w:val="03F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D6EC3"/>
    <w:multiLevelType w:val="hybridMultilevel"/>
    <w:tmpl w:val="F6EA05B6"/>
    <w:lvl w:ilvl="0" w:tplc="B150F27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0740FC1"/>
    <w:multiLevelType w:val="hybridMultilevel"/>
    <w:tmpl w:val="29228B06"/>
    <w:lvl w:ilvl="0" w:tplc="7592D3C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2E55EA"/>
    <w:multiLevelType w:val="multilevel"/>
    <w:tmpl w:val="6422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AF"/>
    <w:rsid w:val="000018D2"/>
    <w:rsid w:val="00007107"/>
    <w:rsid w:val="00014987"/>
    <w:rsid w:val="00065F76"/>
    <w:rsid w:val="000E5D63"/>
    <w:rsid w:val="000F2C61"/>
    <w:rsid w:val="00160BA4"/>
    <w:rsid w:val="001726C2"/>
    <w:rsid w:val="00173CF3"/>
    <w:rsid w:val="00195791"/>
    <w:rsid w:val="00213627"/>
    <w:rsid w:val="002A7736"/>
    <w:rsid w:val="002D07A6"/>
    <w:rsid w:val="002E3B71"/>
    <w:rsid w:val="00314C40"/>
    <w:rsid w:val="00345ECA"/>
    <w:rsid w:val="00353489"/>
    <w:rsid w:val="00377D5F"/>
    <w:rsid w:val="003862F3"/>
    <w:rsid w:val="00391761"/>
    <w:rsid w:val="003927A8"/>
    <w:rsid w:val="00414DCC"/>
    <w:rsid w:val="00415DEC"/>
    <w:rsid w:val="00425E8D"/>
    <w:rsid w:val="004322DF"/>
    <w:rsid w:val="00434D0C"/>
    <w:rsid w:val="004378FA"/>
    <w:rsid w:val="004A00F7"/>
    <w:rsid w:val="004F5C94"/>
    <w:rsid w:val="00507E55"/>
    <w:rsid w:val="0052620D"/>
    <w:rsid w:val="00583B15"/>
    <w:rsid w:val="0059056A"/>
    <w:rsid w:val="005A0F8C"/>
    <w:rsid w:val="005C1F8D"/>
    <w:rsid w:val="005D0E39"/>
    <w:rsid w:val="005D3C0F"/>
    <w:rsid w:val="005E27F5"/>
    <w:rsid w:val="005E433E"/>
    <w:rsid w:val="0060078D"/>
    <w:rsid w:val="00644E0E"/>
    <w:rsid w:val="00650B4E"/>
    <w:rsid w:val="00674E66"/>
    <w:rsid w:val="006C4D1C"/>
    <w:rsid w:val="006D5CB3"/>
    <w:rsid w:val="006E03BC"/>
    <w:rsid w:val="00706E83"/>
    <w:rsid w:val="00717771"/>
    <w:rsid w:val="00755530"/>
    <w:rsid w:val="00783C08"/>
    <w:rsid w:val="007A6A20"/>
    <w:rsid w:val="007F6A30"/>
    <w:rsid w:val="00806F42"/>
    <w:rsid w:val="00811EA8"/>
    <w:rsid w:val="008426FF"/>
    <w:rsid w:val="008611E0"/>
    <w:rsid w:val="008649BB"/>
    <w:rsid w:val="00870376"/>
    <w:rsid w:val="00892071"/>
    <w:rsid w:val="008A4481"/>
    <w:rsid w:val="008B7ABE"/>
    <w:rsid w:val="008F2A99"/>
    <w:rsid w:val="00902BAF"/>
    <w:rsid w:val="009624BE"/>
    <w:rsid w:val="009657B6"/>
    <w:rsid w:val="00966AD8"/>
    <w:rsid w:val="00973E21"/>
    <w:rsid w:val="00980896"/>
    <w:rsid w:val="00985837"/>
    <w:rsid w:val="009E69A6"/>
    <w:rsid w:val="009F4BD3"/>
    <w:rsid w:val="00A04CDB"/>
    <w:rsid w:val="00A16D13"/>
    <w:rsid w:val="00A234BC"/>
    <w:rsid w:val="00A36F54"/>
    <w:rsid w:val="00A65CFA"/>
    <w:rsid w:val="00B004A7"/>
    <w:rsid w:val="00B15B60"/>
    <w:rsid w:val="00B21B60"/>
    <w:rsid w:val="00B32E53"/>
    <w:rsid w:val="00B526FB"/>
    <w:rsid w:val="00B724E7"/>
    <w:rsid w:val="00BA159D"/>
    <w:rsid w:val="00BB0756"/>
    <w:rsid w:val="00BB2701"/>
    <w:rsid w:val="00BB5DD9"/>
    <w:rsid w:val="00BC1A1D"/>
    <w:rsid w:val="00BC4F88"/>
    <w:rsid w:val="00C050F0"/>
    <w:rsid w:val="00C15CF1"/>
    <w:rsid w:val="00C35D55"/>
    <w:rsid w:val="00C42DE7"/>
    <w:rsid w:val="00C86476"/>
    <w:rsid w:val="00C9060E"/>
    <w:rsid w:val="00CD042D"/>
    <w:rsid w:val="00CD0E37"/>
    <w:rsid w:val="00CF0C18"/>
    <w:rsid w:val="00D04C10"/>
    <w:rsid w:val="00D30C50"/>
    <w:rsid w:val="00D53071"/>
    <w:rsid w:val="00D776BD"/>
    <w:rsid w:val="00D95154"/>
    <w:rsid w:val="00DD5255"/>
    <w:rsid w:val="00DF68D8"/>
    <w:rsid w:val="00E054E7"/>
    <w:rsid w:val="00EB1C4D"/>
    <w:rsid w:val="00EC3746"/>
    <w:rsid w:val="00EC68E8"/>
    <w:rsid w:val="00ED6B4B"/>
    <w:rsid w:val="00EF3FBB"/>
    <w:rsid w:val="00F24275"/>
    <w:rsid w:val="00F70C89"/>
    <w:rsid w:val="00F72592"/>
    <w:rsid w:val="00F81BD8"/>
    <w:rsid w:val="00F82AC4"/>
    <w:rsid w:val="00FB5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858B"/>
  <w15:docId w15:val="{496983F7-ACA3-445F-9F28-E43B072A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3B15"/>
    <w:pPr>
      <w:ind w:left="720"/>
      <w:contextualSpacing/>
    </w:pPr>
  </w:style>
  <w:style w:type="paragraph" w:styleId="Textedebulles">
    <w:name w:val="Balloon Text"/>
    <w:basedOn w:val="Normal"/>
    <w:link w:val="TextedebullesCar"/>
    <w:uiPriority w:val="99"/>
    <w:semiHidden/>
    <w:unhideWhenUsed/>
    <w:rsid w:val="00EB1C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1C4D"/>
    <w:rPr>
      <w:rFonts w:ascii="Segoe UI" w:hAnsi="Segoe UI" w:cs="Segoe UI"/>
      <w:sz w:val="18"/>
      <w:szCs w:val="18"/>
    </w:rPr>
  </w:style>
  <w:style w:type="character" w:styleId="Marquedecommentaire">
    <w:name w:val="annotation reference"/>
    <w:basedOn w:val="Policepardfaut"/>
    <w:uiPriority w:val="99"/>
    <w:semiHidden/>
    <w:unhideWhenUsed/>
    <w:rsid w:val="00377D5F"/>
    <w:rPr>
      <w:sz w:val="16"/>
      <w:szCs w:val="16"/>
    </w:rPr>
  </w:style>
  <w:style w:type="paragraph" w:styleId="Commentaire">
    <w:name w:val="annotation text"/>
    <w:basedOn w:val="Normal"/>
    <w:link w:val="CommentaireCar"/>
    <w:uiPriority w:val="99"/>
    <w:semiHidden/>
    <w:unhideWhenUsed/>
    <w:rsid w:val="00377D5F"/>
    <w:pPr>
      <w:spacing w:line="240" w:lineRule="auto"/>
    </w:pPr>
    <w:rPr>
      <w:sz w:val="20"/>
      <w:szCs w:val="20"/>
    </w:rPr>
  </w:style>
  <w:style w:type="character" w:customStyle="1" w:styleId="CommentaireCar">
    <w:name w:val="Commentaire Car"/>
    <w:basedOn w:val="Policepardfaut"/>
    <w:link w:val="Commentaire"/>
    <w:uiPriority w:val="99"/>
    <w:semiHidden/>
    <w:rsid w:val="00377D5F"/>
    <w:rPr>
      <w:sz w:val="20"/>
      <w:szCs w:val="20"/>
    </w:rPr>
  </w:style>
  <w:style w:type="paragraph" w:styleId="Objetducommentaire">
    <w:name w:val="annotation subject"/>
    <w:basedOn w:val="Commentaire"/>
    <w:next w:val="Commentaire"/>
    <w:link w:val="ObjetducommentaireCar"/>
    <w:uiPriority w:val="99"/>
    <w:semiHidden/>
    <w:unhideWhenUsed/>
    <w:rsid w:val="00377D5F"/>
    <w:rPr>
      <w:b/>
      <w:bCs/>
    </w:rPr>
  </w:style>
  <w:style w:type="character" w:customStyle="1" w:styleId="ObjetducommentaireCar">
    <w:name w:val="Objet du commentaire Car"/>
    <w:basedOn w:val="CommentaireCar"/>
    <w:link w:val="Objetducommentaire"/>
    <w:uiPriority w:val="99"/>
    <w:semiHidden/>
    <w:rsid w:val="00377D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04909">
      <w:bodyDiv w:val="1"/>
      <w:marLeft w:val="0"/>
      <w:marRight w:val="0"/>
      <w:marTop w:val="0"/>
      <w:marBottom w:val="0"/>
      <w:divBdr>
        <w:top w:val="none" w:sz="0" w:space="0" w:color="auto"/>
        <w:left w:val="none" w:sz="0" w:space="0" w:color="auto"/>
        <w:bottom w:val="none" w:sz="0" w:space="0" w:color="auto"/>
        <w:right w:val="none" w:sz="0" w:space="0" w:color="auto"/>
      </w:divBdr>
      <w:divsChild>
        <w:div w:id="962926314">
          <w:marLeft w:val="0"/>
          <w:marRight w:val="0"/>
          <w:marTop w:val="0"/>
          <w:marBottom w:val="0"/>
          <w:divBdr>
            <w:top w:val="none" w:sz="0" w:space="0" w:color="auto"/>
            <w:left w:val="none" w:sz="0" w:space="0" w:color="auto"/>
            <w:bottom w:val="none" w:sz="0" w:space="0" w:color="auto"/>
            <w:right w:val="none" w:sz="0" w:space="0" w:color="auto"/>
          </w:divBdr>
        </w:div>
        <w:div w:id="793446768">
          <w:marLeft w:val="0"/>
          <w:marRight w:val="0"/>
          <w:marTop w:val="0"/>
          <w:marBottom w:val="0"/>
          <w:divBdr>
            <w:top w:val="none" w:sz="0" w:space="0" w:color="auto"/>
            <w:left w:val="none" w:sz="0" w:space="0" w:color="auto"/>
            <w:bottom w:val="none" w:sz="0" w:space="0" w:color="auto"/>
            <w:right w:val="none" w:sz="0" w:space="0" w:color="auto"/>
          </w:divBdr>
        </w:div>
        <w:div w:id="473134596">
          <w:marLeft w:val="0"/>
          <w:marRight w:val="0"/>
          <w:marTop w:val="0"/>
          <w:marBottom w:val="0"/>
          <w:divBdr>
            <w:top w:val="none" w:sz="0" w:space="0" w:color="auto"/>
            <w:left w:val="none" w:sz="0" w:space="0" w:color="auto"/>
            <w:bottom w:val="none" w:sz="0" w:space="0" w:color="auto"/>
            <w:right w:val="none" w:sz="0" w:space="0" w:color="auto"/>
          </w:divBdr>
        </w:div>
        <w:div w:id="688986666">
          <w:marLeft w:val="0"/>
          <w:marRight w:val="0"/>
          <w:marTop w:val="0"/>
          <w:marBottom w:val="0"/>
          <w:divBdr>
            <w:top w:val="none" w:sz="0" w:space="0" w:color="auto"/>
            <w:left w:val="none" w:sz="0" w:space="0" w:color="auto"/>
            <w:bottom w:val="none" w:sz="0" w:space="0" w:color="auto"/>
            <w:right w:val="none" w:sz="0" w:space="0" w:color="auto"/>
          </w:divBdr>
        </w:div>
        <w:div w:id="1087187292">
          <w:marLeft w:val="0"/>
          <w:marRight w:val="0"/>
          <w:marTop w:val="0"/>
          <w:marBottom w:val="0"/>
          <w:divBdr>
            <w:top w:val="none" w:sz="0" w:space="0" w:color="auto"/>
            <w:left w:val="none" w:sz="0" w:space="0" w:color="auto"/>
            <w:bottom w:val="none" w:sz="0" w:space="0" w:color="auto"/>
            <w:right w:val="none" w:sz="0" w:space="0" w:color="auto"/>
          </w:divBdr>
        </w:div>
        <w:div w:id="939993388">
          <w:marLeft w:val="0"/>
          <w:marRight w:val="0"/>
          <w:marTop w:val="0"/>
          <w:marBottom w:val="0"/>
          <w:divBdr>
            <w:top w:val="none" w:sz="0" w:space="0" w:color="auto"/>
            <w:left w:val="none" w:sz="0" w:space="0" w:color="auto"/>
            <w:bottom w:val="none" w:sz="0" w:space="0" w:color="auto"/>
            <w:right w:val="none" w:sz="0" w:space="0" w:color="auto"/>
          </w:divBdr>
        </w:div>
        <w:div w:id="185946367">
          <w:marLeft w:val="0"/>
          <w:marRight w:val="0"/>
          <w:marTop w:val="0"/>
          <w:marBottom w:val="0"/>
          <w:divBdr>
            <w:top w:val="none" w:sz="0" w:space="0" w:color="auto"/>
            <w:left w:val="none" w:sz="0" w:space="0" w:color="auto"/>
            <w:bottom w:val="none" w:sz="0" w:space="0" w:color="auto"/>
            <w:right w:val="none" w:sz="0" w:space="0" w:color="auto"/>
          </w:divBdr>
        </w:div>
        <w:div w:id="2030912748">
          <w:marLeft w:val="0"/>
          <w:marRight w:val="0"/>
          <w:marTop w:val="0"/>
          <w:marBottom w:val="0"/>
          <w:divBdr>
            <w:top w:val="none" w:sz="0" w:space="0" w:color="auto"/>
            <w:left w:val="none" w:sz="0" w:space="0" w:color="auto"/>
            <w:bottom w:val="none" w:sz="0" w:space="0" w:color="auto"/>
            <w:right w:val="none" w:sz="0" w:space="0" w:color="auto"/>
          </w:divBdr>
        </w:div>
        <w:div w:id="483546486">
          <w:marLeft w:val="0"/>
          <w:marRight w:val="0"/>
          <w:marTop w:val="0"/>
          <w:marBottom w:val="0"/>
          <w:divBdr>
            <w:top w:val="none" w:sz="0" w:space="0" w:color="auto"/>
            <w:left w:val="none" w:sz="0" w:space="0" w:color="auto"/>
            <w:bottom w:val="none" w:sz="0" w:space="0" w:color="auto"/>
            <w:right w:val="none" w:sz="0" w:space="0" w:color="auto"/>
          </w:divBdr>
        </w:div>
        <w:div w:id="1048528820">
          <w:marLeft w:val="0"/>
          <w:marRight w:val="0"/>
          <w:marTop w:val="0"/>
          <w:marBottom w:val="0"/>
          <w:divBdr>
            <w:top w:val="none" w:sz="0" w:space="0" w:color="auto"/>
            <w:left w:val="none" w:sz="0" w:space="0" w:color="auto"/>
            <w:bottom w:val="none" w:sz="0" w:space="0" w:color="auto"/>
            <w:right w:val="none" w:sz="0" w:space="0" w:color="auto"/>
          </w:divBdr>
        </w:div>
        <w:div w:id="1634287929">
          <w:marLeft w:val="0"/>
          <w:marRight w:val="0"/>
          <w:marTop w:val="0"/>
          <w:marBottom w:val="0"/>
          <w:divBdr>
            <w:top w:val="none" w:sz="0" w:space="0" w:color="auto"/>
            <w:left w:val="none" w:sz="0" w:space="0" w:color="auto"/>
            <w:bottom w:val="none" w:sz="0" w:space="0" w:color="auto"/>
            <w:right w:val="none" w:sz="0" w:space="0" w:color="auto"/>
          </w:divBdr>
        </w:div>
      </w:divsChild>
    </w:div>
    <w:div w:id="1153061255">
      <w:bodyDiv w:val="1"/>
      <w:marLeft w:val="0"/>
      <w:marRight w:val="0"/>
      <w:marTop w:val="0"/>
      <w:marBottom w:val="0"/>
      <w:divBdr>
        <w:top w:val="none" w:sz="0" w:space="0" w:color="auto"/>
        <w:left w:val="none" w:sz="0" w:space="0" w:color="auto"/>
        <w:bottom w:val="none" w:sz="0" w:space="0" w:color="auto"/>
        <w:right w:val="none" w:sz="0" w:space="0" w:color="auto"/>
      </w:divBdr>
      <w:divsChild>
        <w:div w:id="1374580012">
          <w:marLeft w:val="0"/>
          <w:marRight w:val="0"/>
          <w:marTop w:val="0"/>
          <w:marBottom w:val="0"/>
          <w:divBdr>
            <w:top w:val="none" w:sz="0" w:space="0" w:color="auto"/>
            <w:left w:val="none" w:sz="0" w:space="0" w:color="auto"/>
            <w:bottom w:val="none" w:sz="0" w:space="0" w:color="auto"/>
            <w:right w:val="none" w:sz="0" w:space="0" w:color="auto"/>
          </w:divBdr>
        </w:div>
        <w:div w:id="1353871344">
          <w:marLeft w:val="0"/>
          <w:marRight w:val="0"/>
          <w:marTop w:val="0"/>
          <w:marBottom w:val="0"/>
          <w:divBdr>
            <w:top w:val="none" w:sz="0" w:space="0" w:color="auto"/>
            <w:left w:val="none" w:sz="0" w:space="0" w:color="auto"/>
            <w:bottom w:val="none" w:sz="0" w:space="0" w:color="auto"/>
            <w:right w:val="none" w:sz="0" w:space="0" w:color="auto"/>
          </w:divBdr>
        </w:div>
        <w:div w:id="2043481399">
          <w:marLeft w:val="0"/>
          <w:marRight w:val="0"/>
          <w:marTop w:val="0"/>
          <w:marBottom w:val="0"/>
          <w:divBdr>
            <w:top w:val="none" w:sz="0" w:space="0" w:color="auto"/>
            <w:left w:val="none" w:sz="0" w:space="0" w:color="auto"/>
            <w:bottom w:val="none" w:sz="0" w:space="0" w:color="auto"/>
            <w:right w:val="none" w:sz="0" w:space="0" w:color="auto"/>
          </w:divBdr>
        </w:div>
        <w:div w:id="2017344610">
          <w:marLeft w:val="0"/>
          <w:marRight w:val="0"/>
          <w:marTop w:val="0"/>
          <w:marBottom w:val="0"/>
          <w:divBdr>
            <w:top w:val="none" w:sz="0" w:space="0" w:color="auto"/>
            <w:left w:val="none" w:sz="0" w:space="0" w:color="auto"/>
            <w:bottom w:val="none" w:sz="0" w:space="0" w:color="auto"/>
            <w:right w:val="none" w:sz="0" w:space="0" w:color="auto"/>
          </w:divBdr>
        </w:div>
        <w:div w:id="301423589">
          <w:marLeft w:val="0"/>
          <w:marRight w:val="0"/>
          <w:marTop w:val="0"/>
          <w:marBottom w:val="0"/>
          <w:divBdr>
            <w:top w:val="none" w:sz="0" w:space="0" w:color="auto"/>
            <w:left w:val="none" w:sz="0" w:space="0" w:color="auto"/>
            <w:bottom w:val="none" w:sz="0" w:space="0" w:color="auto"/>
            <w:right w:val="none" w:sz="0" w:space="0" w:color="auto"/>
          </w:divBdr>
        </w:div>
        <w:div w:id="2120562717">
          <w:marLeft w:val="0"/>
          <w:marRight w:val="0"/>
          <w:marTop w:val="0"/>
          <w:marBottom w:val="0"/>
          <w:divBdr>
            <w:top w:val="none" w:sz="0" w:space="0" w:color="auto"/>
            <w:left w:val="none" w:sz="0" w:space="0" w:color="auto"/>
            <w:bottom w:val="none" w:sz="0" w:space="0" w:color="auto"/>
            <w:right w:val="none" w:sz="0" w:space="0" w:color="auto"/>
          </w:divBdr>
        </w:div>
        <w:div w:id="30377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3080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Lalla Fatouma TRAORE</dc:creator>
  <cp:keywords/>
  <dc:description/>
  <cp:lastModifiedBy>Lalla Fatouma TRAORE</cp:lastModifiedBy>
  <cp:revision>2</cp:revision>
  <cp:lastPrinted>2016-10-27T09:50:00Z</cp:lastPrinted>
  <dcterms:created xsi:type="dcterms:W3CDTF">2018-01-25T17:33:00Z</dcterms:created>
  <dcterms:modified xsi:type="dcterms:W3CDTF">2018-01-25T17:33:00Z</dcterms:modified>
</cp:coreProperties>
</file>